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486"/>
        </w:tabs>
        <w:spacing w:line="580" w:lineRule="exact"/>
        <w:ind w:left="0"/>
        <w:jc w:val="center"/>
        <w:textAlignment w:val="auto"/>
        <w:rPr>
          <w:rFonts w:hint="default" w:ascii="Times New Roman" w:hAnsi="Times New Roman" w:eastAsia="方正仿宋_GB2312" w:cs="Times New Roman"/>
          <w:b/>
          <w:bCs/>
          <w:kern w:val="2"/>
          <w:sz w:val="28"/>
          <w:szCs w:val="28"/>
        </w:rPr>
      </w:pPr>
      <w:r>
        <w:rPr>
          <w:rFonts w:hint="default" w:ascii="Times New Roman" w:hAnsi="Times New Roman" w:eastAsia="方正仿宋_GB2312" w:cs="Times New Roman"/>
          <w:b/>
          <w:bCs/>
          <w:kern w:val="2"/>
          <w:sz w:val="28"/>
          <w:szCs w:val="28"/>
        </w:rPr>
        <w:t>附件</w:t>
      </w:r>
      <w:r>
        <w:rPr>
          <w:rFonts w:hint="default" w:ascii="Times New Roman" w:hAnsi="Times New Roman" w:eastAsia="方正仿宋_GB2312" w:cs="Times New Roman"/>
          <w:b/>
          <w:bCs/>
          <w:kern w:val="2"/>
          <w:sz w:val="28"/>
          <w:szCs w:val="28"/>
          <w:lang w:val="en-US" w:eastAsia="zh-CN"/>
        </w:rPr>
        <w:t>1</w:t>
      </w:r>
      <w:r>
        <w:rPr>
          <w:rFonts w:hint="default" w:ascii="Times New Roman" w:hAnsi="Times New Roman" w:eastAsia="方正仿宋_GB2312" w:cs="Times New Roman"/>
          <w:b/>
          <w:bCs/>
          <w:kern w:val="2"/>
          <w:sz w:val="28"/>
          <w:szCs w:val="28"/>
        </w:rPr>
        <w:t>：安徽工程大学本科教育教学审核评估分项任务分解一览表</w:t>
      </w:r>
    </w:p>
    <w:p>
      <w:pPr>
        <w:tabs>
          <w:tab w:val="left" w:pos="3486"/>
        </w:tabs>
        <w:spacing w:line="580" w:lineRule="exact"/>
        <w:ind w:left="0" w:firstLine="640" w:firstLineChars="200"/>
        <w:textAlignment w:val="auto"/>
        <w:rPr>
          <w:rFonts w:hint="default" w:ascii="Times New Roman" w:hAnsi="Times New Roman" w:eastAsia="黑体" w:cs="Times New Roman"/>
          <w:kern w:val="2"/>
          <w:sz w:val="32"/>
          <w:szCs w:val="32"/>
        </w:rPr>
      </w:pPr>
    </w:p>
    <w:tbl>
      <w:tblPr>
        <w:tblStyle w:val="4"/>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1"/>
        <w:gridCol w:w="1568"/>
        <w:gridCol w:w="975"/>
        <w:gridCol w:w="3164"/>
        <w:gridCol w:w="1182"/>
        <w:gridCol w:w="1046"/>
        <w:gridCol w:w="1627"/>
        <w:gridCol w:w="3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blHeader/>
          <w:jc w:val="center"/>
        </w:trPr>
        <w:tc>
          <w:tcPr>
            <w:tcW w:w="286" w:type="pct"/>
            <w:vAlign w:val="center"/>
          </w:tcPr>
          <w:p>
            <w:pPr>
              <w:widowControl/>
              <w:spacing w:line="300" w:lineRule="exact"/>
              <w:ind w:left="0"/>
              <w:jc w:val="center"/>
              <w:textAlignment w:val="auto"/>
              <w:rPr>
                <w:rFonts w:hint="default" w:ascii="Times New Roman" w:hAnsi="Times New Roman" w:eastAsia="方正仿宋_GB2312" w:cs="Times New Roman"/>
                <w:b/>
                <w:color w:val="auto"/>
                <w:kern w:val="2"/>
                <w:sz w:val="24"/>
                <w:szCs w:val="32"/>
              </w:rPr>
            </w:pPr>
            <w:r>
              <w:rPr>
                <w:rFonts w:hint="default" w:ascii="Times New Roman" w:hAnsi="Times New Roman" w:eastAsia="方正仿宋_GB2312" w:cs="Times New Roman"/>
                <w:b/>
                <w:color w:val="auto"/>
                <w:kern w:val="2"/>
                <w:sz w:val="24"/>
                <w:szCs w:val="32"/>
              </w:rPr>
              <w:t>一级指标</w:t>
            </w:r>
          </w:p>
        </w:tc>
        <w:tc>
          <w:tcPr>
            <w:tcW w:w="553" w:type="pct"/>
            <w:vAlign w:val="center"/>
          </w:tcPr>
          <w:p>
            <w:pPr>
              <w:widowControl/>
              <w:spacing w:line="300" w:lineRule="exact"/>
              <w:ind w:left="0"/>
              <w:jc w:val="both"/>
              <w:textAlignment w:val="auto"/>
              <w:rPr>
                <w:rFonts w:hint="default" w:ascii="Times New Roman" w:hAnsi="Times New Roman" w:eastAsia="方正仿宋_GB2312" w:cs="Times New Roman"/>
                <w:b/>
                <w:color w:val="auto"/>
                <w:kern w:val="2"/>
                <w:sz w:val="24"/>
                <w:szCs w:val="32"/>
              </w:rPr>
            </w:pPr>
            <w:r>
              <w:rPr>
                <w:rFonts w:hint="default" w:ascii="Times New Roman" w:hAnsi="Times New Roman" w:eastAsia="方正仿宋_GB2312" w:cs="Times New Roman"/>
                <w:b/>
                <w:color w:val="auto"/>
                <w:kern w:val="2"/>
                <w:sz w:val="24"/>
                <w:szCs w:val="32"/>
              </w:rPr>
              <w:t>二级指标</w:t>
            </w:r>
          </w:p>
        </w:tc>
        <w:tc>
          <w:tcPr>
            <w:tcW w:w="1460" w:type="pct"/>
            <w:gridSpan w:val="2"/>
            <w:vAlign w:val="center"/>
          </w:tcPr>
          <w:p>
            <w:pPr>
              <w:widowControl/>
              <w:spacing w:line="300" w:lineRule="exact"/>
              <w:ind w:left="0"/>
              <w:jc w:val="both"/>
              <w:textAlignment w:val="auto"/>
              <w:rPr>
                <w:rFonts w:hint="default" w:ascii="Times New Roman" w:hAnsi="Times New Roman" w:eastAsia="方正仿宋_GB2312" w:cs="Times New Roman"/>
                <w:b/>
                <w:color w:val="auto"/>
                <w:kern w:val="2"/>
                <w:sz w:val="24"/>
                <w:szCs w:val="32"/>
              </w:rPr>
            </w:pPr>
            <w:r>
              <w:rPr>
                <w:rFonts w:hint="default" w:ascii="Times New Roman" w:hAnsi="Times New Roman" w:eastAsia="方正仿宋_GB2312" w:cs="Times New Roman"/>
                <w:b/>
                <w:color w:val="auto"/>
                <w:kern w:val="2"/>
                <w:sz w:val="24"/>
                <w:szCs w:val="32"/>
              </w:rPr>
              <w:t>审核重点</w:t>
            </w:r>
          </w:p>
        </w:tc>
        <w:tc>
          <w:tcPr>
            <w:tcW w:w="417" w:type="pct"/>
            <w:vAlign w:val="center"/>
          </w:tcPr>
          <w:p>
            <w:pPr>
              <w:widowControl/>
              <w:spacing w:line="300" w:lineRule="exact"/>
              <w:ind w:left="0"/>
              <w:jc w:val="center"/>
              <w:textAlignment w:val="auto"/>
              <w:rPr>
                <w:rFonts w:hint="default" w:ascii="Times New Roman" w:hAnsi="Times New Roman" w:eastAsia="方正仿宋_GB2312" w:cs="Times New Roman"/>
                <w:b/>
                <w:color w:val="auto"/>
                <w:kern w:val="2"/>
                <w:sz w:val="24"/>
                <w:szCs w:val="32"/>
              </w:rPr>
            </w:pPr>
            <w:r>
              <w:rPr>
                <w:rFonts w:hint="default" w:ascii="Times New Roman" w:hAnsi="Times New Roman" w:eastAsia="方正仿宋_GB2312" w:cs="Times New Roman"/>
                <w:b/>
                <w:color w:val="auto"/>
                <w:kern w:val="2"/>
                <w:sz w:val="24"/>
                <w:szCs w:val="32"/>
              </w:rPr>
              <w:t>牵头</w:t>
            </w:r>
          </w:p>
          <w:p>
            <w:pPr>
              <w:widowControl/>
              <w:spacing w:line="300" w:lineRule="exact"/>
              <w:ind w:left="0"/>
              <w:jc w:val="center"/>
              <w:textAlignment w:val="auto"/>
              <w:rPr>
                <w:rFonts w:hint="default" w:ascii="Times New Roman" w:hAnsi="Times New Roman" w:eastAsia="方正仿宋_GB2312" w:cs="Times New Roman"/>
                <w:b/>
                <w:color w:val="auto"/>
                <w:kern w:val="2"/>
                <w:sz w:val="24"/>
                <w:szCs w:val="32"/>
              </w:rPr>
            </w:pPr>
            <w:r>
              <w:rPr>
                <w:rFonts w:hint="default" w:ascii="Times New Roman" w:hAnsi="Times New Roman" w:eastAsia="方正仿宋_GB2312" w:cs="Times New Roman"/>
                <w:b/>
                <w:color w:val="auto"/>
                <w:kern w:val="2"/>
                <w:sz w:val="24"/>
                <w:szCs w:val="32"/>
              </w:rPr>
              <w:t>校领导</w:t>
            </w:r>
          </w:p>
        </w:tc>
        <w:tc>
          <w:tcPr>
            <w:tcW w:w="369" w:type="pct"/>
            <w:vAlign w:val="center"/>
          </w:tcPr>
          <w:p>
            <w:pPr>
              <w:widowControl/>
              <w:spacing w:line="300" w:lineRule="exact"/>
              <w:ind w:left="0"/>
              <w:jc w:val="center"/>
              <w:textAlignment w:val="auto"/>
              <w:rPr>
                <w:rFonts w:hint="default" w:ascii="Times New Roman" w:hAnsi="Times New Roman" w:eastAsia="方正仿宋_GB2312" w:cs="Times New Roman"/>
                <w:b/>
                <w:color w:val="auto"/>
                <w:kern w:val="2"/>
                <w:sz w:val="24"/>
                <w:szCs w:val="32"/>
              </w:rPr>
            </w:pPr>
            <w:r>
              <w:rPr>
                <w:rFonts w:hint="default" w:ascii="Times New Roman" w:hAnsi="Times New Roman" w:eastAsia="方正仿宋_GB2312" w:cs="Times New Roman"/>
                <w:b/>
                <w:color w:val="auto"/>
                <w:kern w:val="2"/>
                <w:sz w:val="24"/>
                <w:szCs w:val="32"/>
              </w:rPr>
              <w:t>牵头</w:t>
            </w:r>
          </w:p>
          <w:p>
            <w:pPr>
              <w:widowControl/>
              <w:spacing w:line="300" w:lineRule="exact"/>
              <w:ind w:left="0"/>
              <w:jc w:val="center"/>
              <w:textAlignment w:val="auto"/>
              <w:rPr>
                <w:rFonts w:hint="default" w:ascii="Times New Roman" w:hAnsi="Times New Roman" w:eastAsia="方正仿宋_GB2312" w:cs="Times New Roman"/>
                <w:b/>
                <w:color w:val="auto"/>
                <w:kern w:val="2"/>
                <w:sz w:val="24"/>
                <w:szCs w:val="32"/>
              </w:rPr>
            </w:pPr>
            <w:r>
              <w:rPr>
                <w:rFonts w:hint="default" w:ascii="Times New Roman" w:hAnsi="Times New Roman" w:eastAsia="方正仿宋_GB2312" w:cs="Times New Roman"/>
                <w:b/>
                <w:color w:val="auto"/>
                <w:kern w:val="2"/>
                <w:sz w:val="24"/>
                <w:szCs w:val="32"/>
              </w:rPr>
              <w:t>单位</w:t>
            </w:r>
          </w:p>
        </w:tc>
        <w:tc>
          <w:tcPr>
            <w:tcW w:w="574" w:type="pct"/>
            <w:vAlign w:val="center"/>
          </w:tcPr>
          <w:p>
            <w:pPr>
              <w:widowControl/>
              <w:spacing w:line="300" w:lineRule="exact"/>
              <w:ind w:left="0"/>
              <w:jc w:val="both"/>
              <w:textAlignment w:val="auto"/>
              <w:rPr>
                <w:rFonts w:hint="default" w:ascii="Times New Roman" w:hAnsi="Times New Roman" w:eastAsia="方正仿宋_GB2312" w:cs="Times New Roman"/>
                <w:b/>
                <w:color w:val="auto"/>
                <w:kern w:val="2"/>
                <w:sz w:val="24"/>
                <w:szCs w:val="32"/>
              </w:rPr>
            </w:pPr>
            <w:r>
              <w:rPr>
                <w:rFonts w:hint="default" w:ascii="Times New Roman" w:hAnsi="Times New Roman" w:eastAsia="方正仿宋_GB2312" w:cs="Times New Roman"/>
                <w:b/>
                <w:color w:val="auto"/>
                <w:kern w:val="2"/>
                <w:sz w:val="24"/>
                <w:szCs w:val="32"/>
              </w:rPr>
              <w:t>责任单位</w:t>
            </w:r>
          </w:p>
        </w:tc>
        <w:tc>
          <w:tcPr>
            <w:tcW w:w="1337" w:type="pct"/>
            <w:vAlign w:val="center"/>
          </w:tcPr>
          <w:p>
            <w:pPr>
              <w:widowControl/>
              <w:spacing w:line="300" w:lineRule="exact"/>
              <w:ind w:left="0"/>
              <w:jc w:val="both"/>
              <w:textAlignment w:val="auto"/>
              <w:rPr>
                <w:rFonts w:hint="default" w:ascii="Times New Roman" w:hAnsi="Times New Roman" w:eastAsia="方正仿宋_GB2312" w:cs="Times New Roman"/>
                <w:b/>
                <w:color w:val="auto"/>
                <w:kern w:val="2"/>
                <w:sz w:val="24"/>
                <w:szCs w:val="32"/>
                <w:lang w:val="en-US" w:eastAsia="zh-CN"/>
              </w:rPr>
            </w:pPr>
            <w:r>
              <w:rPr>
                <w:rFonts w:hint="default" w:ascii="Times New Roman" w:hAnsi="Times New Roman" w:eastAsia="方正仿宋_GB2312" w:cs="Times New Roman"/>
                <w:b/>
                <w:color w:val="auto"/>
                <w:kern w:val="2"/>
                <w:sz w:val="24"/>
                <w:szCs w:val="32"/>
                <w:lang w:val="en-US" w:eastAsia="zh-CN"/>
              </w:rPr>
              <w:t>建设任务（包括但不限于）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8" w:hRule="atLeast"/>
          <w:jc w:val="center"/>
        </w:trPr>
        <w:tc>
          <w:tcPr>
            <w:tcW w:w="286" w:type="pct"/>
            <w:vMerge w:val="restart"/>
            <w:vAlign w:val="center"/>
          </w:tcPr>
          <w:p>
            <w:pPr>
              <w:spacing w:line="300" w:lineRule="exact"/>
              <w:ind w:left="0"/>
              <w:jc w:val="left"/>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1.办学方向与本科地位</w:t>
            </w:r>
          </w:p>
        </w:tc>
        <w:tc>
          <w:tcPr>
            <w:tcW w:w="553" w:type="pct"/>
            <w:vMerge w:val="restar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1.1党的领导</w:t>
            </w:r>
          </w:p>
        </w:tc>
        <w:tc>
          <w:tcPr>
            <w:tcW w:w="1460" w:type="pct"/>
            <w:gridSpan w:val="2"/>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1.1.1 学校坚持党的全面领导，依法治教、依法办学、依法治校，围绕国家战略需求培养担当民族复兴大任的时代新人情况</w:t>
            </w:r>
          </w:p>
        </w:tc>
        <w:tc>
          <w:tcPr>
            <w:tcW w:w="417" w:type="pct"/>
            <w:vMerge w:val="restar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校党委书记、校长</w:t>
            </w:r>
          </w:p>
        </w:tc>
        <w:tc>
          <w:tcPr>
            <w:tcW w:w="369" w:type="pct"/>
            <w:vMerge w:val="restar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办公室</w:t>
            </w:r>
          </w:p>
        </w:tc>
        <w:tc>
          <w:tcPr>
            <w:tcW w:w="57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办公室（牵头）、纪委办、组织部、宣传部、教务处、学生处</w:t>
            </w:r>
          </w:p>
        </w:tc>
        <w:tc>
          <w:tcPr>
            <w:tcW w:w="1337" w:type="pct"/>
            <w:vMerge w:val="restart"/>
            <w:vAlign w:val="center"/>
          </w:tcPr>
          <w:p>
            <w:pPr>
              <w:spacing w:line="300" w:lineRule="exact"/>
              <w:ind w:left="0"/>
              <w:jc w:val="both"/>
              <w:textAlignment w:val="auto"/>
              <w:rPr>
                <w:rFonts w:hint="default" w:ascii="Times New Roman" w:hAnsi="Times New Roman" w:eastAsia="方正仿宋_GB2312" w:cs="Times New Roman"/>
                <w:color w:val="auto"/>
                <w:kern w:val="2"/>
                <w:sz w:val="24"/>
                <w:szCs w:val="32"/>
                <w:lang w:val="en-US" w:eastAsia="zh-CN"/>
              </w:rPr>
            </w:pPr>
            <w:r>
              <w:rPr>
                <w:rFonts w:hint="default" w:ascii="Times New Roman" w:hAnsi="Times New Roman" w:eastAsia="方正仿宋_GB2312" w:cs="Times New Roman"/>
                <w:color w:val="auto"/>
                <w:kern w:val="2"/>
                <w:sz w:val="24"/>
                <w:szCs w:val="32"/>
                <w:lang w:val="en-US" w:eastAsia="zh-CN"/>
              </w:rPr>
              <w:t>①学校在加强党的领导方面出台的制度文件；</w:t>
            </w:r>
          </w:p>
          <w:p>
            <w:pPr>
              <w:spacing w:line="300" w:lineRule="exact"/>
              <w:ind w:left="0"/>
              <w:jc w:val="both"/>
              <w:textAlignment w:val="auto"/>
              <w:rPr>
                <w:rFonts w:hint="default" w:ascii="Times New Roman" w:hAnsi="Times New Roman" w:eastAsia="方正仿宋_GB2312" w:cs="Times New Roman"/>
                <w:color w:val="auto"/>
                <w:kern w:val="2"/>
                <w:sz w:val="24"/>
                <w:szCs w:val="32"/>
                <w:lang w:val="en-US" w:eastAsia="zh-CN"/>
              </w:rPr>
            </w:pPr>
            <w:r>
              <w:rPr>
                <w:rFonts w:hint="default" w:ascii="Times New Roman" w:hAnsi="Times New Roman" w:eastAsia="方正仿宋_GB2312" w:cs="Times New Roman"/>
                <w:color w:val="auto"/>
                <w:kern w:val="2"/>
                <w:sz w:val="24"/>
                <w:szCs w:val="32"/>
                <w:lang w:val="en-US" w:eastAsia="zh-CN"/>
              </w:rPr>
              <w:t>②贯彻落实</w:t>
            </w:r>
            <w:r>
              <w:rPr>
                <w:rFonts w:hint="default" w:ascii="Times New Roman" w:hAnsi="Times New Roman" w:eastAsia="方正仿宋_GB2312" w:cs="Times New Roman"/>
                <w:color w:val="auto"/>
                <w:kern w:val="2"/>
                <w:sz w:val="24"/>
                <w:szCs w:val="32"/>
              </w:rPr>
              <w:t>依法治教、依法办学、依法治校</w:t>
            </w:r>
            <w:r>
              <w:rPr>
                <w:rFonts w:hint="default" w:ascii="Times New Roman" w:hAnsi="Times New Roman" w:eastAsia="方正仿宋_GB2312" w:cs="Times New Roman"/>
                <w:color w:val="auto"/>
                <w:kern w:val="2"/>
                <w:sz w:val="24"/>
                <w:szCs w:val="32"/>
                <w:lang w:val="en-US" w:eastAsia="zh-CN"/>
              </w:rPr>
              <w:t>的相关会议或宣传报道材料；</w:t>
            </w:r>
          </w:p>
          <w:p>
            <w:pPr>
              <w:spacing w:line="300" w:lineRule="exact"/>
              <w:ind w:left="0"/>
              <w:jc w:val="both"/>
              <w:textAlignment w:val="auto"/>
              <w:rPr>
                <w:rFonts w:hint="default" w:ascii="Times New Roman" w:hAnsi="Times New Roman" w:eastAsia="方正仿宋_GB2312" w:cs="Times New Roman"/>
                <w:color w:val="auto"/>
                <w:kern w:val="2"/>
                <w:sz w:val="24"/>
                <w:szCs w:val="32"/>
                <w:lang w:val="en-US" w:eastAsia="zh-CN"/>
              </w:rPr>
            </w:pPr>
            <w:r>
              <w:rPr>
                <w:rFonts w:hint="default" w:ascii="Times New Roman" w:hAnsi="Times New Roman" w:eastAsia="方正仿宋_GB2312" w:cs="Times New Roman"/>
                <w:color w:val="auto"/>
                <w:kern w:val="2"/>
                <w:sz w:val="24"/>
                <w:szCs w:val="32"/>
                <w:lang w:val="en-US" w:eastAsia="zh-CN"/>
              </w:rPr>
              <w:t>③贯彻落实立德树人根本任务方面的成果、典型案例；</w:t>
            </w:r>
          </w:p>
          <w:p>
            <w:pPr>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微软雅黑" w:cs="Times New Roman"/>
                <w:color w:val="auto"/>
                <w:kern w:val="2"/>
                <w:sz w:val="24"/>
                <w:szCs w:val="32"/>
                <w:lang w:val="en-US" w:eastAsia="zh-CN"/>
              </w:rPr>
              <w:t>④</w:t>
            </w:r>
            <w:r>
              <w:rPr>
                <w:rFonts w:hint="default" w:ascii="Times New Roman" w:hAnsi="Times New Roman" w:eastAsia="方正仿宋_GB2312" w:cs="Times New Roman"/>
                <w:color w:val="auto"/>
                <w:kern w:val="2"/>
                <w:sz w:val="24"/>
                <w:szCs w:val="32"/>
                <w:lang w:val="en-US" w:eastAsia="zh-CN"/>
              </w:rPr>
              <w:t>贯彻落实立德树人根本任务方面的相关会议或宣传报道材料。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286" w:type="pct"/>
            <w:vMerge w:val="continue"/>
            <w:vAlign w:val="center"/>
          </w:tcPr>
          <w:p>
            <w:pPr>
              <w:widowControl/>
              <w:spacing w:line="300" w:lineRule="exact"/>
              <w:ind w:left="0"/>
              <w:jc w:val="left"/>
              <w:textAlignment w:val="auto"/>
              <w:rPr>
                <w:rFonts w:hint="default" w:ascii="Times New Roman" w:hAnsi="Times New Roman" w:eastAsia="方正仿宋_GB2312" w:cs="Times New Roman"/>
                <w:color w:val="auto"/>
                <w:kern w:val="2"/>
                <w:sz w:val="24"/>
                <w:szCs w:val="32"/>
              </w:rPr>
            </w:pPr>
          </w:p>
        </w:tc>
        <w:tc>
          <w:tcPr>
            <w:tcW w:w="553"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1460" w:type="pct"/>
            <w:gridSpan w:val="2"/>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1.1.2 学校坚持社会主义办学方向、贯彻落实立德树人根本任务、把立德树人成效作为检验学校一切工作根本标准情况</w:t>
            </w:r>
          </w:p>
        </w:tc>
        <w:tc>
          <w:tcPr>
            <w:tcW w:w="41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办公室（牵头）、纪委办、组织部、宣传部、教务处</w:t>
            </w:r>
          </w:p>
        </w:tc>
        <w:tc>
          <w:tcPr>
            <w:tcW w:w="133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86" w:type="pct"/>
            <w:vMerge w:val="continue"/>
            <w:vAlign w:val="center"/>
          </w:tcPr>
          <w:p>
            <w:pPr>
              <w:widowControl/>
              <w:spacing w:line="300" w:lineRule="exact"/>
              <w:ind w:left="0"/>
              <w:jc w:val="left"/>
              <w:textAlignment w:val="auto"/>
              <w:rPr>
                <w:rFonts w:hint="default" w:ascii="Times New Roman" w:hAnsi="Times New Roman" w:eastAsia="方正仿宋_GB2312" w:cs="Times New Roman"/>
                <w:color w:val="auto"/>
                <w:kern w:val="2"/>
                <w:sz w:val="24"/>
                <w:szCs w:val="32"/>
              </w:rPr>
            </w:pPr>
          </w:p>
        </w:tc>
        <w:tc>
          <w:tcPr>
            <w:tcW w:w="553" w:type="pct"/>
            <w:vMerge w:val="restar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1.2思政教育</w:t>
            </w:r>
          </w:p>
        </w:tc>
        <w:tc>
          <w:tcPr>
            <w:tcW w:w="1460" w:type="pct"/>
            <w:gridSpan w:val="2"/>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1.2.1 思想政治工作体系建设和“三全育人”工作格局建立情况</w:t>
            </w:r>
          </w:p>
        </w:tc>
        <w:tc>
          <w:tcPr>
            <w:tcW w:w="41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宣传部（牵头）、教务处、学生处、团委</w:t>
            </w:r>
          </w:p>
        </w:tc>
        <w:tc>
          <w:tcPr>
            <w:tcW w:w="1337" w:type="pct"/>
            <w:vMerge w:val="restart"/>
            <w:vAlign w:val="center"/>
          </w:tcPr>
          <w:p>
            <w:pPr>
              <w:spacing w:line="300" w:lineRule="exact"/>
              <w:ind w:left="0"/>
              <w:jc w:val="both"/>
              <w:textAlignment w:val="auto"/>
              <w:rPr>
                <w:rFonts w:hint="default" w:ascii="Times New Roman" w:hAnsi="Times New Roman" w:eastAsia="方正仿宋_GB2312" w:cs="Times New Roman"/>
                <w:color w:val="auto"/>
                <w:kern w:val="2"/>
                <w:sz w:val="24"/>
                <w:szCs w:val="32"/>
                <w:lang w:val="en-US" w:eastAsia="zh-CN"/>
              </w:rPr>
            </w:pPr>
            <w:r>
              <w:rPr>
                <w:rFonts w:hint="default" w:ascii="Times New Roman" w:hAnsi="Times New Roman" w:eastAsia="方正仿宋_GB2312" w:cs="Times New Roman"/>
                <w:color w:val="auto"/>
                <w:kern w:val="2"/>
                <w:sz w:val="24"/>
                <w:szCs w:val="32"/>
                <w:lang w:val="en-US" w:eastAsia="zh-CN"/>
              </w:rPr>
              <w:t>①学校在思政教育方面的制度文件；</w:t>
            </w:r>
          </w:p>
          <w:p>
            <w:pPr>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lang w:val="en-US" w:eastAsia="zh-CN"/>
              </w:rPr>
              <w:t>②</w:t>
            </w:r>
            <w:r>
              <w:rPr>
                <w:rFonts w:hint="default" w:ascii="Times New Roman" w:hAnsi="Times New Roman" w:eastAsia="方正仿宋_GB2312" w:cs="Times New Roman"/>
                <w:color w:val="auto"/>
                <w:kern w:val="2"/>
                <w:sz w:val="24"/>
                <w:szCs w:val="32"/>
              </w:rPr>
              <w:t>学校开展三全育人工作的情况及成效；</w:t>
            </w:r>
          </w:p>
          <w:p>
            <w:pPr>
              <w:spacing w:line="300" w:lineRule="exact"/>
              <w:ind w:left="0"/>
              <w:jc w:val="both"/>
              <w:textAlignment w:val="auto"/>
              <w:rPr>
                <w:rFonts w:hint="default" w:ascii="Times New Roman" w:hAnsi="Times New Roman" w:eastAsia="方正仿宋_GB2312" w:cs="Times New Roman"/>
                <w:color w:val="auto"/>
                <w:kern w:val="2"/>
                <w:sz w:val="24"/>
                <w:szCs w:val="32"/>
                <w:lang w:val="en-US" w:eastAsia="zh-CN"/>
              </w:rPr>
            </w:pPr>
            <w:r>
              <w:rPr>
                <w:rFonts w:hint="default" w:ascii="Times New Roman" w:hAnsi="Times New Roman" w:eastAsia="微软雅黑" w:cs="Times New Roman"/>
                <w:color w:val="auto"/>
                <w:kern w:val="2"/>
                <w:sz w:val="24"/>
                <w:szCs w:val="32"/>
                <w:lang w:val="en-US" w:eastAsia="zh-CN"/>
              </w:rPr>
              <w:t>③</w:t>
            </w:r>
            <w:r>
              <w:rPr>
                <w:rFonts w:hint="default" w:ascii="Times New Roman" w:hAnsi="Times New Roman" w:eastAsia="方正仿宋_GB2312" w:cs="Times New Roman"/>
                <w:color w:val="auto"/>
                <w:kern w:val="2"/>
                <w:sz w:val="24"/>
                <w:szCs w:val="32"/>
                <w:lang w:val="en-US" w:eastAsia="zh-CN"/>
              </w:rPr>
              <w:t>思政课专任教师与折合在校生比例统计表；</w:t>
            </w:r>
          </w:p>
          <w:p>
            <w:pPr>
              <w:spacing w:line="300" w:lineRule="exact"/>
              <w:ind w:left="0"/>
              <w:jc w:val="both"/>
              <w:textAlignment w:val="auto"/>
              <w:rPr>
                <w:rFonts w:hint="default" w:ascii="Times New Roman" w:hAnsi="Times New Roman" w:eastAsia="方正仿宋_GB2312" w:cs="Times New Roman"/>
                <w:color w:val="auto"/>
                <w:kern w:val="2"/>
                <w:sz w:val="24"/>
                <w:szCs w:val="32"/>
                <w:lang w:val="en-US" w:eastAsia="zh-CN"/>
              </w:rPr>
            </w:pPr>
            <w:r>
              <w:rPr>
                <w:rFonts w:hint="default" w:ascii="Times New Roman" w:hAnsi="Times New Roman" w:eastAsia="微软雅黑" w:cs="Times New Roman"/>
                <w:color w:val="auto"/>
                <w:kern w:val="2"/>
                <w:sz w:val="24"/>
                <w:szCs w:val="32"/>
                <w:lang w:val="en-US" w:eastAsia="zh-CN"/>
              </w:rPr>
              <w:t>④</w:t>
            </w:r>
            <w:r>
              <w:rPr>
                <w:rFonts w:hint="default" w:ascii="Times New Roman" w:hAnsi="Times New Roman" w:eastAsia="方正仿宋_GB2312" w:cs="Times New Roman"/>
                <w:color w:val="auto"/>
                <w:kern w:val="2"/>
                <w:sz w:val="24"/>
                <w:szCs w:val="32"/>
                <w:lang w:val="en-US" w:eastAsia="zh-CN"/>
              </w:rPr>
              <w:t>专职党务工作人员和思想政治工作人员总数与全校师生人数比例统计表；</w:t>
            </w:r>
          </w:p>
          <w:p>
            <w:pPr>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微软雅黑" w:cs="Times New Roman"/>
                <w:color w:val="auto"/>
                <w:kern w:val="2"/>
                <w:sz w:val="24"/>
                <w:szCs w:val="32"/>
              </w:rPr>
              <w:t>⑤</w:t>
            </w:r>
            <w:r>
              <w:rPr>
                <w:rFonts w:hint="default" w:ascii="Times New Roman" w:hAnsi="Times New Roman" w:eastAsia="方正仿宋_GB2312" w:cs="Times New Roman"/>
                <w:color w:val="auto"/>
                <w:kern w:val="2"/>
                <w:sz w:val="24"/>
                <w:szCs w:val="32"/>
              </w:rPr>
              <w:t>生均思政工作和党务工作队伍建设专项经费统计表；</w:t>
            </w:r>
          </w:p>
          <w:p>
            <w:pPr>
              <w:spacing w:line="300" w:lineRule="exact"/>
              <w:ind w:left="0"/>
              <w:jc w:val="both"/>
              <w:textAlignment w:val="auto"/>
              <w:rPr>
                <w:rFonts w:hint="default" w:ascii="Times New Roman" w:hAnsi="Times New Roman" w:eastAsia="方正仿宋_GB2312" w:cs="Times New Roman"/>
                <w:color w:val="auto"/>
                <w:kern w:val="2"/>
                <w:sz w:val="24"/>
                <w:szCs w:val="32"/>
                <w:lang w:eastAsia="zh-CN"/>
              </w:rPr>
            </w:pPr>
            <w:r>
              <w:rPr>
                <w:rFonts w:hint="default" w:ascii="Times New Roman" w:hAnsi="Times New Roman" w:eastAsia="微软雅黑" w:cs="Times New Roman"/>
                <w:color w:val="auto"/>
                <w:kern w:val="2"/>
                <w:sz w:val="24"/>
                <w:szCs w:val="32"/>
              </w:rPr>
              <w:t>⑥</w:t>
            </w:r>
            <w:r>
              <w:rPr>
                <w:rFonts w:hint="default" w:ascii="Times New Roman" w:hAnsi="Times New Roman" w:eastAsia="方正仿宋_GB2312" w:cs="Times New Roman"/>
                <w:color w:val="auto"/>
                <w:kern w:val="2"/>
                <w:sz w:val="24"/>
                <w:szCs w:val="32"/>
              </w:rPr>
              <w:t>生均网络思政工作专项经费统计表</w:t>
            </w:r>
            <w:r>
              <w:rPr>
                <w:rFonts w:hint="default" w:ascii="Times New Roman" w:hAnsi="Times New Roman" w:eastAsia="方正仿宋_GB2312" w:cs="Times New Roman"/>
                <w:color w:val="auto"/>
                <w:kern w:val="2"/>
                <w:sz w:val="24"/>
                <w:szCs w:val="32"/>
                <w:lang w:eastAsia="zh-CN"/>
              </w:rPr>
              <w:t>；</w:t>
            </w:r>
          </w:p>
          <w:p>
            <w:pPr>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微软雅黑" w:cs="Times New Roman"/>
                <w:color w:val="auto"/>
                <w:kern w:val="2"/>
                <w:sz w:val="24"/>
                <w:szCs w:val="32"/>
              </w:rPr>
              <w:t>⑦</w:t>
            </w:r>
            <w:r>
              <w:rPr>
                <w:rFonts w:hint="default" w:ascii="Times New Roman" w:hAnsi="Times New Roman" w:eastAsia="方正仿宋_GB2312" w:cs="Times New Roman"/>
                <w:color w:val="auto"/>
                <w:kern w:val="2"/>
                <w:sz w:val="24"/>
                <w:szCs w:val="32"/>
              </w:rPr>
              <w:t>思政课程建设方面的统计分析资料；</w:t>
            </w:r>
          </w:p>
          <w:p>
            <w:pPr>
              <w:spacing w:line="300" w:lineRule="exact"/>
              <w:ind w:left="0"/>
              <w:jc w:val="both"/>
              <w:textAlignment w:val="auto"/>
              <w:rPr>
                <w:rFonts w:hint="default" w:ascii="Times New Roman" w:hAnsi="Times New Roman" w:eastAsia="方正仿宋_GB2312" w:cs="Times New Roman"/>
                <w:color w:val="auto"/>
                <w:kern w:val="2"/>
                <w:sz w:val="24"/>
                <w:szCs w:val="32"/>
                <w:lang w:val="en-US" w:eastAsia="zh-CN"/>
              </w:rPr>
            </w:pPr>
            <w:r>
              <w:rPr>
                <w:rFonts w:hint="default" w:ascii="Times New Roman" w:hAnsi="Times New Roman" w:eastAsia="微软雅黑" w:cs="Times New Roman"/>
                <w:color w:val="auto"/>
                <w:kern w:val="2"/>
                <w:sz w:val="24"/>
                <w:szCs w:val="32"/>
              </w:rPr>
              <w:t>⑧</w:t>
            </w:r>
            <w:r>
              <w:rPr>
                <w:rFonts w:hint="default" w:ascii="Times New Roman" w:hAnsi="Times New Roman" w:eastAsia="方正仿宋_GB2312" w:cs="Times New Roman"/>
                <w:color w:val="auto"/>
                <w:kern w:val="2"/>
                <w:sz w:val="24"/>
                <w:szCs w:val="32"/>
              </w:rPr>
              <w:t>课程思政的典型案例</w:t>
            </w:r>
            <w:r>
              <w:rPr>
                <w:rFonts w:hint="default" w:ascii="Times New Roman" w:hAnsi="Times New Roman" w:eastAsia="方正仿宋_GB2312" w:cs="Times New Roman"/>
                <w:color w:val="auto"/>
                <w:kern w:val="2"/>
                <w:sz w:val="24"/>
                <w:szCs w:val="32"/>
                <w:lang w:eastAsia="zh-CN"/>
              </w:rPr>
              <w:t>；</w:t>
            </w:r>
          </w:p>
          <w:p>
            <w:pPr>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微软雅黑" w:cs="Times New Roman"/>
                <w:color w:val="auto"/>
                <w:kern w:val="2"/>
                <w:sz w:val="24"/>
                <w:szCs w:val="32"/>
              </w:rPr>
              <w:t>⑨</w:t>
            </w:r>
            <w:r>
              <w:rPr>
                <w:rFonts w:hint="default" w:ascii="Times New Roman" w:hAnsi="Times New Roman" w:eastAsia="方正仿宋_GB2312" w:cs="Times New Roman"/>
                <w:color w:val="auto"/>
                <w:kern w:val="2"/>
                <w:sz w:val="24"/>
                <w:szCs w:val="32"/>
              </w:rPr>
              <w:t>课程思政示范课程、课程思政教学研究示范中心建设以及课程思政教学名师和团队建设等资料；</w:t>
            </w:r>
          </w:p>
          <w:p>
            <w:pPr>
              <w:spacing w:line="300" w:lineRule="exact"/>
              <w:ind w:left="0"/>
              <w:jc w:val="both"/>
              <w:textAlignment w:val="auto"/>
              <w:rPr>
                <w:rFonts w:hint="default" w:ascii="Times New Roman" w:hAnsi="Times New Roman" w:eastAsia="方正仿宋_GB2312" w:cs="Times New Roman"/>
                <w:color w:val="auto"/>
                <w:kern w:val="2"/>
                <w:sz w:val="24"/>
                <w:szCs w:val="32"/>
                <w:lang w:val="en-US" w:eastAsia="zh-CN"/>
              </w:rPr>
            </w:pPr>
            <w:r>
              <w:rPr>
                <w:rFonts w:hint="default" w:ascii="Times New Roman" w:hAnsi="Times New Roman" w:eastAsia="微软雅黑" w:cs="Times New Roman"/>
                <w:color w:val="auto"/>
                <w:kern w:val="2"/>
                <w:sz w:val="24"/>
                <w:szCs w:val="32"/>
                <w:lang w:val="en-US" w:eastAsia="zh-CN"/>
              </w:rPr>
              <w:t>⑩</w:t>
            </w:r>
            <w:r>
              <w:rPr>
                <w:rFonts w:hint="default" w:ascii="Times New Roman" w:hAnsi="Times New Roman" w:eastAsia="方正仿宋_GB2312" w:cs="Times New Roman"/>
                <w:color w:val="auto"/>
                <w:kern w:val="2"/>
                <w:sz w:val="24"/>
                <w:szCs w:val="32"/>
                <w:lang w:val="en-US" w:eastAsia="zh-CN"/>
              </w:rPr>
              <w:t>教师在思想政治、道德品质等方面出现负面问题情况应对及处理情况；</w:t>
            </w:r>
          </w:p>
          <w:p>
            <w:pPr>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微软雅黑" w:cs="Times New Roman"/>
                <w:color w:val="auto"/>
                <w:kern w:val="2"/>
                <w:sz w:val="24"/>
                <w:szCs w:val="32"/>
              </w:rPr>
              <w:t>⑪</w:t>
            </w:r>
            <w:r>
              <w:rPr>
                <w:rFonts w:hint="default" w:ascii="Times New Roman" w:hAnsi="Times New Roman" w:eastAsia="方正仿宋_GB2312" w:cs="Times New Roman"/>
                <w:color w:val="auto"/>
                <w:kern w:val="2"/>
                <w:sz w:val="24"/>
                <w:szCs w:val="32"/>
              </w:rPr>
              <w:t>学生在思想政治、道德品质等方面出现负面问题情况应对及处理情况。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286" w:type="pct"/>
            <w:vMerge w:val="continue"/>
            <w:vAlign w:val="center"/>
          </w:tcPr>
          <w:p>
            <w:pPr>
              <w:widowControl/>
              <w:spacing w:line="300" w:lineRule="exact"/>
              <w:ind w:left="0"/>
              <w:jc w:val="left"/>
              <w:textAlignment w:val="auto"/>
              <w:rPr>
                <w:rFonts w:hint="default" w:ascii="Times New Roman" w:hAnsi="Times New Roman" w:eastAsia="方正仿宋_GB2312" w:cs="Times New Roman"/>
                <w:color w:val="auto"/>
                <w:kern w:val="2"/>
                <w:sz w:val="24"/>
                <w:szCs w:val="32"/>
              </w:rPr>
            </w:pPr>
          </w:p>
        </w:tc>
        <w:tc>
          <w:tcPr>
            <w:tcW w:w="553"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1460" w:type="pct"/>
            <w:gridSpan w:val="2"/>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1.2.2 加强思想政治理论课教师队伍和思政课程建设情况，按要求开设“习近平总书记关于教育的重要论述研究”课程情况</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【必选】思政课专任教师与折合在校生比例≥1:350</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【必选】专职党务工作人员和思想政治工作人员总数与全校师生人数比例≥1:100</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【必选】生均思政工作和党务工作队伍建设专项经费≥20元</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【必选】生均网络思政工作专项经费≥40元</w:t>
            </w:r>
          </w:p>
        </w:tc>
        <w:tc>
          <w:tcPr>
            <w:tcW w:w="41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宣传部和人事处（牵头）、组织部、教务处、财务处</w:t>
            </w:r>
          </w:p>
        </w:tc>
        <w:tc>
          <w:tcPr>
            <w:tcW w:w="1337" w:type="pct"/>
            <w:vMerge w:val="continue"/>
            <w:vAlign w:val="center"/>
          </w:tcPr>
          <w:p>
            <w:pPr>
              <w:spacing w:line="300" w:lineRule="exact"/>
              <w:ind w:left="0"/>
              <w:jc w:val="both"/>
              <w:textAlignment w:val="auto"/>
              <w:rPr>
                <w:rFonts w:hint="default" w:ascii="Times New Roman" w:hAnsi="Times New Roman" w:eastAsia="方正仿宋_GB2312" w:cs="Times New Roman"/>
                <w:color w:val="auto"/>
                <w:kern w:val="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jc w:val="center"/>
        </w:trPr>
        <w:tc>
          <w:tcPr>
            <w:tcW w:w="286" w:type="pct"/>
            <w:vMerge w:val="continue"/>
            <w:vAlign w:val="center"/>
          </w:tcPr>
          <w:p>
            <w:pPr>
              <w:widowControl/>
              <w:spacing w:line="300" w:lineRule="exact"/>
              <w:ind w:left="0"/>
              <w:jc w:val="left"/>
              <w:textAlignment w:val="auto"/>
              <w:rPr>
                <w:rFonts w:hint="default" w:ascii="Times New Roman" w:hAnsi="Times New Roman" w:eastAsia="方正仿宋_GB2312" w:cs="Times New Roman"/>
                <w:color w:val="auto"/>
                <w:kern w:val="2"/>
                <w:sz w:val="24"/>
                <w:szCs w:val="32"/>
              </w:rPr>
            </w:pPr>
          </w:p>
        </w:tc>
        <w:tc>
          <w:tcPr>
            <w:tcW w:w="553"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1460" w:type="pct"/>
            <w:gridSpan w:val="2"/>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1.2.3 “课程思政”建设与成效，课程思政示范课程、课程思政教学研究示范中心以及课程思政教学名师和团队的建设及选树情况</w:t>
            </w:r>
          </w:p>
        </w:tc>
        <w:tc>
          <w:tcPr>
            <w:tcW w:w="41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教务处（牵头）、宣传部、人事处、马院</w:t>
            </w:r>
          </w:p>
        </w:tc>
        <w:tc>
          <w:tcPr>
            <w:tcW w:w="1337" w:type="pct"/>
            <w:vMerge w:val="continue"/>
            <w:vAlign w:val="center"/>
          </w:tcPr>
          <w:p>
            <w:pPr>
              <w:spacing w:line="300" w:lineRule="exact"/>
              <w:ind w:left="0"/>
              <w:jc w:val="both"/>
              <w:textAlignment w:val="auto"/>
              <w:rPr>
                <w:rFonts w:hint="default" w:ascii="Times New Roman" w:hAnsi="Times New Roman" w:eastAsia="方正仿宋_GB2312" w:cs="Times New Roman"/>
                <w:color w:val="auto"/>
                <w:kern w:val="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286" w:type="pct"/>
            <w:vMerge w:val="continue"/>
            <w:vAlign w:val="center"/>
          </w:tcPr>
          <w:p>
            <w:pPr>
              <w:widowControl/>
              <w:spacing w:line="300" w:lineRule="exact"/>
              <w:ind w:left="0"/>
              <w:jc w:val="left"/>
              <w:textAlignment w:val="auto"/>
              <w:rPr>
                <w:rFonts w:hint="default" w:ascii="Times New Roman" w:hAnsi="Times New Roman" w:eastAsia="方正仿宋_GB2312" w:cs="Times New Roman"/>
                <w:color w:val="auto"/>
                <w:kern w:val="2"/>
                <w:sz w:val="24"/>
                <w:szCs w:val="32"/>
              </w:rPr>
            </w:pPr>
          </w:p>
        </w:tc>
        <w:tc>
          <w:tcPr>
            <w:tcW w:w="553"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1460" w:type="pct"/>
            <w:gridSpan w:val="2"/>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1.2.4</w:t>
            </w:r>
            <w:r>
              <w:rPr>
                <w:rFonts w:hint="default" w:ascii="Times New Roman" w:hAnsi="Times New Roman" w:eastAsia="方正仿宋_GB2312" w:cs="Times New Roman"/>
                <w:color w:val="auto"/>
                <w:kern w:val="2"/>
                <w:sz w:val="24"/>
                <w:szCs w:val="32"/>
                <w:lang w:val="en-US" w:eastAsia="zh-CN"/>
              </w:rPr>
              <w:t xml:space="preserve"> </w:t>
            </w:r>
            <w:r>
              <w:rPr>
                <w:rFonts w:hint="default" w:ascii="Times New Roman" w:hAnsi="Times New Roman" w:eastAsia="方正仿宋_GB2312" w:cs="Times New Roman"/>
                <w:color w:val="auto"/>
                <w:kern w:val="2"/>
                <w:sz w:val="24"/>
                <w:szCs w:val="32"/>
              </w:rPr>
              <w:t>学校对教师、学生出现思想政治、道德品质等负面问题能否及时发现和妥当处置情况</w:t>
            </w:r>
          </w:p>
        </w:tc>
        <w:tc>
          <w:tcPr>
            <w:tcW w:w="41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学生处和人事处（牵头）、纪委办、宣传部、巡察办、教务处</w:t>
            </w:r>
          </w:p>
        </w:tc>
        <w:tc>
          <w:tcPr>
            <w:tcW w:w="1337" w:type="pct"/>
            <w:vMerge w:val="continue"/>
            <w:vAlign w:val="center"/>
          </w:tcPr>
          <w:p>
            <w:pPr>
              <w:spacing w:line="300" w:lineRule="exact"/>
              <w:ind w:left="0"/>
              <w:jc w:val="both"/>
              <w:textAlignment w:val="auto"/>
              <w:rPr>
                <w:rFonts w:hint="default" w:ascii="Times New Roman" w:hAnsi="Times New Roman" w:eastAsia="方正仿宋_GB2312" w:cs="Times New Roman"/>
                <w:color w:val="auto"/>
                <w:kern w:val="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286" w:type="pct"/>
            <w:vMerge w:val="continue"/>
            <w:vAlign w:val="center"/>
          </w:tcPr>
          <w:p>
            <w:pPr>
              <w:widowControl/>
              <w:spacing w:line="300" w:lineRule="exact"/>
              <w:ind w:left="0"/>
              <w:jc w:val="left"/>
              <w:textAlignment w:val="auto"/>
              <w:rPr>
                <w:rFonts w:hint="default" w:ascii="Times New Roman" w:hAnsi="Times New Roman" w:eastAsia="等线" w:cs="Times New Roman"/>
                <w:b/>
                <w:bCs/>
                <w:color w:val="auto"/>
                <w:kern w:val="0"/>
                <w:sz w:val="24"/>
                <w:szCs w:val="21"/>
              </w:rPr>
            </w:pPr>
          </w:p>
        </w:tc>
        <w:tc>
          <w:tcPr>
            <w:tcW w:w="553" w:type="pct"/>
            <w:vMerge w:val="restar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1.3本科地位</w:t>
            </w:r>
          </w:p>
        </w:tc>
        <w:tc>
          <w:tcPr>
            <w:tcW w:w="1460" w:type="pct"/>
            <w:gridSpan w:val="2"/>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1.3.1 “以本为本”落实情况，党委重视、校长主抓、院长落实的本科教育良好氛围形成情况</w:t>
            </w:r>
          </w:p>
        </w:tc>
        <w:tc>
          <w:tcPr>
            <w:tcW w:w="41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lang w:val="en-US" w:eastAsia="zh-CN"/>
              </w:rPr>
            </w:pPr>
            <w:r>
              <w:rPr>
                <w:rFonts w:hint="default" w:ascii="Times New Roman" w:hAnsi="Times New Roman" w:eastAsia="方正仿宋_GB2312" w:cs="Times New Roman"/>
                <w:color w:val="auto"/>
                <w:kern w:val="2"/>
                <w:sz w:val="24"/>
                <w:szCs w:val="32"/>
              </w:rPr>
              <w:t>办公室（牵头）、教务处</w:t>
            </w:r>
            <w:r>
              <w:rPr>
                <w:rFonts w:hint="eastAsia" w:ascii="Times New Roman" w:hAnsi="Times New Roman" w:eastAsia="方正仿宋_GB2312" w:cs="Times New Roman"/>
                <w:color w:val="auto"/>
                <w:kern w:val="2"/>
                <w:sz w:val="24"/>
                <w:szCs w:val="32"/>
                <w:lang w:eastAsia="zh-CN"/>
              </w:rPr>
              <w:t>、</w:t>
            </w:r>
            <w:r>
              <w:rPr>
                <w:rFonts w:hint="eastAsia" w:ascii="Times New Roman" w:hAnsi="Times New Roman" w:eastAsia="方正仿宋_GB2312" w:cs="Times New Roman"/>
                <w:color w:val="auto"/>
                <w:kern w:val="2"/>
                <w:sz w:val="24"/>
                <w:szCs w:val="32"/>
                <w:lang w:val="en-US" w:eastAsia="zh-CN"/>
              </w:rPr>
              <w:t>发规处</w:t>
            </w:r>
          </w:p>
        </w:tc>
        <w:tc>
          <w:tcPr>
            <w:tcW w:w="1337" w:type="pct"/>
            <w:vMerge w:val="restart"/>
            <w:vAlign w:val="center"/>
          </w:tcPr>
          <w:p>
            <w:pPr>
              <w:spacing w:line="300" w:lineRule="exact"/>
              <w:ind w:left="0"/>
              <w:jc w:val="both"/>
              <w:textAlignment w:val="auto"/>
              <w:rPr>
                <w:rFonts w:hint="default" w:ascii="Times New Roman" w:hAnsi="Times New Roman" w:eastAsia="方正仿宋_GB2312" w:cs="Times New Roman"/>
                <w:color w:val="auto"/>
                <w:kern w:val="2"/>
                <w:sz w:val="24"/>
                <w:szCs w:val="32"/>
                <w:lang w:val="en-US"/>
              </w:rPr>
            </w:pPr>
            <w:r>
              <w:rPr>
                <w:rFonts w:hint="default" w:ascii="Times New Roman" w:hAnsi="Times New Roman" w:eastAsia="方正仿宋_GB2312" w:cs="Times New Roman"/>
                <w:color w:val="auto"/>
                <w:kern w:val="2"/>
                <w:sz w:val="24"/>
                <w:szCs w:val="32"/>
                <w:lang w:eastAsia="zh-CN"/>
              </w:rPr>
              <w:t>①校领导深入基层联系师生和谈心谈话</w:t>
            </w:r>
            <w:r>
              <w:rPr>
                <w:rFonts w:hint="default" w:ascii="Times New Roman" w:hAnsi="Times New Roman" w:eastAsia="方正仿宋_GB2312" w:cs="Times New Roman"/>
                <w:color w:val="auto"/>
                <w:kern w:val="2"/>
                <w:sz w:val="24"/>
                <w:szCs w:val="32"/>
                <w:lang w:val="en-US" w:eastAsia="zh-CN"/>
              </w:rPr>
              <w:t>等</w:t>
            </w:r>
            <w:r>
              <w:rPr>
                <w:rFonts w:hint="default" w:ascii="Times New Roman" w:hAnsi="Times New Roman" w:eastAsia="方正仿宋_GB2312" w:cs="Times New Roman"/>
                <w:color w:val="auto"/>
                <w:kern w:val="2"/>
                <w:sz w:val="24"/>
                <w:szCs w:val="32"/>
                <w:lang w:eastAsia="zh-CN"/>
              </w:rPr>
              <w:t>制度</w:t>
            </w:r>
            <w:r>
              <w:rPr>
                <w:rFonts w:hint="default" w:ascii="Times New Roman" w:hAnsi="Times New Roman" w:eastAsia="方正仿宋_GB2312" w:cs="Times New Roman"/>
                <w:color w:val="auto"/>
                <w:kern w:val="2"/>
                <w:sz w:val="24"/>
                <w:szCs w:val="32"/>
                <w:lang w:val="en-US" w:eastAsia="zh-CN"/>
              </w:rPr>
              <w:t>文件和相关报道；</w:t>
            </w:r>
          </w:p>
          <w:p>
            <w:pPr>
              <w:spacing w:line="300" w:lineRule="exact"/>
              <w:ind w:left="0"/>
              <w:jc w:val="both"/>
              <w:textAlignment w:val="auto"/>
              <w:rPr>
                <w:rFonts w:hint="default" w:ascii="Times New Roman" w:hAnsi="Times New Roman" w:eastAsia="方正仿宋_GB2312" w:cs="Times New Roman"/>
                <w:color w:val="auto"/>
                <w:kern w:val="2"/>
                <w:sz w:val="24"/>
                <w:szCs w:val="32"/>
                <w:lang w:eastAsia="zh-CN"/>
              </w:rPr>
            </w:pPr>
            <w:r>
              <w:rPr>
                <w:rFonts w:hint="default" w:ascii="Times New Roman" w:hAnsi="Times New Roman" w:eastAsia="方正仿宋_GB2312" w:cs="Times New Roman"/>
                <w:color w:val="auto"/>
                <w:kern w:val="2"/>
                <w:sz w:val="24"/>
                <w:szCs w:val="32"/>
              </w:rPr>
              <w:t>②</w:t>
            </w:r>
            <w:r>
              <w:rPr>
                <w:rFonts w:hint="default" w:ascii="Times New Roman" w:hAnsi="Times New Roman" w:eastAsia="方正仿宋_GB2312" w:cs="Times New Roman"/>
                <w:color w:val="auto"/>
                <w:kern w:val="2"/>
                <w:sz w:val="24"/>
                <w:szCs w:val="32"/>
                <w:lang w:eastAsia="zh-CN"/>
              </w:rPr>
              <w:t>学校在落实本科地位方面制订出台的制度文件；</w:t>
            </w:r>
          </w:p>
          <w:p>
            <w:pPr>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lang w:eastAsia="zh-CN"/>
              </w:rPr>
              <w:t>③</w:t>
            </w:r>
            <w:r>
              <w:rPr>
                <w:rFonts w:hint="default" w:ascii="Times New Roman" w:hAnsi="Times New Roman" w:eastAsia="方正仿宋_GB2312" w:cs="Times New Roman"/>
                <w:color w:val="auto"/>
                <w:kern w:val="2"/>
                <w:sz w:val="24"/>
                <w:szCs w:val="32"/>
              </w:rPr>
              <w:t>党委会专题研究本科教学工作的会议记录；</w:t>
            </w:r>
          </w:p>
          <w:p>
            <w:pPr>
              <w:spacing w:line="300" w:lineRule="exact"/>
              <w:ind w:left="0"/>
              <w:jc w:val="both"/>
              <w:textAlignment w:val="auto"/>
              <w:rPr>
                <w:rFonts w:hint="default" w:ascii="Times New Roman" w:hAnsi="Times New Roman" w:eastAsia="方正仿宋_GB2312" w:cs="Times New Roman"/>
                <w:color w:val="auto"/>
                <w:kern w:val="2"/>
                <w:sz w:val="24"/>
                <w:szCs w:val="32"/>
                <w:lang w:eastAsia="zh-CN"/>
              </w:rPr>
            </w:pPr>
            <w:r>
              <w:rPr>
                <w:rFonts w:hint="default" w:ascii="Times New Roman" w:hAnsi="Times New Roman" w:eastAsia="微软雅黑" w:cs="Times New Roman"/>
                <w:color w:val="auto"/>
                <w:kern w:val="2"/>
                <w:sz w:val="24"/>
                <w:szCs w:val="32"/>
              </w:rPr>
              <w:t>④</w:t>
            </w:r>
            <w:r>
              <w:rPr>
                <w:rFonts w:hint="default" w:ascii="Times New Roman" w:hAnsi="Times New Roman" w:eastAsia="方正仿宋_GB2312" w:cs="Times New Roman"/>
                <w:color w:val="auto"/>
                <w:kern w:val="2"/>
                <w:sz w:val="24"/>
                <w:szCs w:val="32"/>
                <w:lang w:eastAsia="zh-CN"/>
              </w:rPr>
              <w:t>各级领导听课记录；</w:t>
            </w:r>
          </w:p>
          <w:p>
            <w:pPr>
              <w:spacing w:line="300" w:lineRule="exact"/>
              <w:ind w:left="0"/>
              <w:jc w:val="both"/>
              <w:textAlignment w:val="auto"/>
              <w:rPr>
                <w:rFonts w:hint="default" w:ascii="Times New Roman" w:hAnsi="Times New Roman" w:eastAsia="方正仿宋_GB2312" w:cs="Times New Roman"/>
                <w:color w:val="auto"/>
                <w:kern w:val="2"/>
                <w:sz w:val="24"/>
                <w:szCs w:val="32"/>
                <w:lang w:eastAsia="zh-CN"/>
              </w:rPr>
            </w:pPr>
            <w:r>
              <w:rPr>
                <w:rFonts w:hint="default" w:ascii="Times New Roman" w:hAnsi="Times New Roman" w:eastAsia="微软雅黑" w:cs="Times New Roman"/>
                <w:color w:val="auto"/>
                <w:kern w:val="2"/>
                <w:sz w:val="24"/>
                <w:szCs w:val="32"/>
              </w:rPr>
              <w:t>⑤</w:t>
            </w:r>
            <w:r>
              <w:rPr>
                <w:rFonts w:hint="default" w:ascii="Times New Roman" w:hAnsi="Times New Roman" w:eastAsia="方正仿宋_GB2312" w:cs="Times New Roman"/>
                <w:color w:val="auto"/>
                <w:kern w:val="2"/>
                <w:sz w:val="24"/>
                <w:szCs w:val="32"/>
              </w:rPr>
              <w:t>学校开展新时代全国高等学校本科教育工作会议思想大讨论的新闻稿等相关材料</w:t>
            </w:r>
            <w:r>
              <w:rPr>
                <w:rFonts w:hint="default" w:ascii="Times New Roman" w:hAnsi="Times New Roman" w:eastAsia="方正仿宋_GB2312" w:cs="Times New Roman"/>
                <w:color w:val="auto"/>
                <w:kern w:val="2"/>
                <w:sz w:val="24"/>
                <w:szCs w:val="32"/>
                <w:lang w:eastAsia="zh-CN"/>
              </w:rPr>
              <w:t>；</w:t>
            </w:r>
          </w:p>
          <w:p>
            <w:pPr>
              <w:spacing w:line="300" w:lineRule="exact"/>
              <w:ind w:left="0"/>
              <w:jc w:val="both"/>
              <w:textAlignment w:val="auto"/>
              <w:rPr>
                <w:rFonts w:hint="default" w:ascii="Times New Roman" w:hAnsi="Times New Roman" w:eastAsia="方正仿宋_GB2312" w:cs="Times New Roman"/>
                <w:color w:val="auto"/>
                <w:kern w:val="2"/>
                <w:sz w:val="24"/>
                <w:szCs w:val="32"/>
                <w:lang w:eastAsia="zh-CN"/>
              </w:rPr>
            </w:pPr>
            <w:r>
              <w:rPr>
                <w:rFonts w:hint="default" w:ascii="Times New Roman" w:hAnsi="Times New Roman" w:eastAsia="微软雅黑" w:cs="Times New Roman"/>
                <w:color w:val="auto"/>
                <w:kern w:val="2"/>
                <w:sz w:val="24"/>
                <w:szCs w:val="32"/>
              </w:rPr>
              <w:t>⑥</w:t>
            </w:r>
            <w:r>
              <w:rPr>
                <w:rFonts w:hint="default" w:ascii="Times New Roman" w:hAnsi="Times New Roman" w:eastAsia="方正仿宋_GB2312" w:cs="Times New Roman"/>
                <w:color w:val="auto"/>
                <w:kern w:val="2"/>
                <w:sz w:val="24"/>
                <w:szCs w:val="32"/>
                <w:lang w:eastAsia="zh-CN"/>
              </w:rPr>
              <w:t>推进学生刻苦读书学习、教师潜心教书育人、学校倾心培养社会主义建设者和接班人等方面的举措与成效；</w:t>
            </w:r>
          </w:p>
          <w:p>
            <w:pPr>
              <w:spacing w:line="300" w:lineRule="exact"/>
              <w:ind w:left="0"/>
              <w:jc w:val="both"/>
              <w:textAlignment w:val="auto"/>
              <w:rPr>
                <w:rFonts w:hint="default" w:ascii="Times New Roman" w:hAnsi="Times New Roman" w:eastAsia="方正仿宋_GB2312" w:cs="Times New Roman"/>
                <w:color w:val="auto"/>
                <w:kern w:val="2"/>
                <w:sz w:val="24"/>
                <w:szCs w:val="32"/>
                <w:lang w:eastAsia="zh-CN"/>
              </w:rPr>
            </w:pPr>
            <w:r>
              <w:rPr>
                <w:rFonts w:hint="default" w:ascii="Times New Roman" w:hAnsi="Times New Roman" w:eastAsia="微软雅黑" w:cs="Times New Roman"/>
                <w:color w:val="auto"/>
                <w:kern w:val="2"/>
                <w:sz w:val="24"/>
                <w:szCs w:val="32"/>
              </w:rPr>
              <w:t>⑦</w:t>
            </w:r>
            <w:r>
              <w:rPr>
                <w:rFonts w:hint="default" w:ascii="Times New Roman" w:hAnsi="Times New Roman" w:eastAsia="方正仿宋_GB2312" w:cs="Times New Roman"/>
                <w:color w:val="auto"/>
                <w:kern w:val="2"/>
                <w:sz w:val="24"/>
                <w:szCs w:val="32"/>
              </w:rPr>
              <w:t>学校教师引进、职称评聘、绩效考核等制度文件；</w:t>
            </w:r>
          </w:p>
          <w:p>
            <w:pPr>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微软雅黑" w:cs="Times New Roman"/>
                <w:color w:val="auto"/>
                <w:kern w:val="2"/>
                <w:sz w:val="24"/>
                <w:szCs w:val="32"/>
              </w:rPr>
              <w:t>⑧</w:t>
            </w:r>
            <w:r>
              <w:rPr>
                <w:rFonts w:hint="default" w:ascii="Times New Roman" w:hAnsi="Times New Roman" w:eastAsia="方正仿宋_GB2312" w:cs="Times New Roman"/>
                <w:color w:val="auto"/>
                <w:kern w:val="2"/>
                <w:sz w:val="24"/>
                <w:szCs w:val="32"/>
              </w:rPr>
              <w:t>近三年学校在教学方面的经费投入情况；</w:t>
            </w:r>
          </w:p>
          <w:p>
            <w:pPr>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微软雅黑" w:cs="Times New Roman"/>
                <w:color w:val="auto"/>
                <w:kern w:val="2"/>
                <w:sz w:val="24"/>
                <w:szCs w:val="32"/>
              </w:rPr>
              <w:t>⑨</w:t>
            </w:r>
            <w:r>
              <w:rPr>
                <w:rFonts w:hint="default" w:ascii="Times New Roman" w:hAnsi="Times New Roman" w:eastAsia="方正仿宋_GB2312" w:cs="Times New Roman"/>
                <w:color w:val="auto"/>
                <w:kern w:val="2"/>
                <w:sz w:val="24"/>
                <w:szCs w:val="32"/>
              </w:rPr>
              <w:t>近三年院系、教师年度考核情况</w:t>
            </w:r>
            <w:r>
              <w:rPr>
                <w:rFonts w:hint="default" w:ascii="Times New Roman" w:hAnsi="Times New Roman" w:eastAsia="方正仿宋_GB2312" w:cs="Times New Roman"/>
                <w:color w:val="auto"/>
                <w:kern w:val="2"/>
                <w:sz w:val="24"/>
                <w:szCs w:val="32"/>
                <w:lang w:eastAsia="zh-CN"/>
              </w:rPr>
              <w:t>；</w:t>
            </w:r>
          </w:p>
          <w:p>
            <w:pPr>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微软雅黑" w:cs="Times New Roman"/>
                <w:color w:val="auto"/>
                <w:kern w:val="2"/>
                <w:sz w:val="24"/>
                <w:szCs w:val="32"/>
                <w:lang w:val="en-US" w:eastAsia="zh-CN"/>
              </w:rPr>
              <w:t>⑩</w:t>
            </w:r>
            <w:r>
              <w:rPr>
                <w:rFonts w:hint="default" w:ascii="Times New Roman" w:hAnsi="Times New Roman" w:eastAsia="方正仿宋_GB2312" w:cs="Times New Roman"/>
                <w:color w:val="auto"/>
                <w:kern w:val="2"/>
                <w:sz w:val="24"/>
                <w:szCs w:val="32"/>
              </w:rPr>
              <w:t>生均年教学日常运行支出统计表；</w:t>
            </w:r>
          </w:p>
          <w:p>
            <w:pPr>
              <w:spacing w:line="300" w:lineRule="exact"/>
              <w:ind w:left="0"/>
              <w:jc w:val="both"/>
              <w:textAlignment w:val="auto"/>
              <w:rPr>
                <w:rFonts w:hint="default" w:ascii="Times New Roman" w:hAnsi="Times New Roman" w:eastAsia="方正仿宋_GB2312" w:cs="Times New Roman"/>
                <w:color w:val="auto"/>
                <w:kern w:val="2"/>
                <w:sz w:val="24"/>
                <w:szCs w:val="32"/>
                <w:lang w:eastAsia="zh-CN"/>
              </w:rPr>
            </w:pPr>
            <w:r>
              <w:rPr>
                <w:rFonts w:hint="default" w:ascii="Times New Roman" w:hAnsi="Times New Roman" w:eastAsia="微软雅黑" w:cs="Times New Roman"/>
                <w:color w:val="auto"/>
                <w:kern w:val="2"/>
                <w:sz w:val="24"/>
                <w:szCs w:val="32"/>
              </w:rPr>
              <w:t>⑪</w:t>
            </w:r>
            <w:r>
              <w:rPr>
                <w:rFonts w:hint="default" w:ascii="Times New Roman" w:hAnsi="Times New Roman" w:eastAsia="方正仿宋_GB2312" w:cs="Times New Roman"/>
                <w:color w:val="auto"/>
                <w:kern w:val="2"/>
                <w:sz w:val="24"/>
                <w:szCs w:val="32"/>
              </w:rPr>
              <w:t>教学日常运行支出占经常性预算内教育事业费拨款（205类教育拨款扣除专项拨款）与学费收入之和的比例统计表</w:t>
            </w:r>
            <w:r>
              <w:rPr>
                <w:rFonts w:hint="default" w:ascii="Times New Roman" w:hAnsi="Times New Roman" w:eastAsia="方正仿宋_GB2312" w:cs="Times New Roman"/>
                <w:color w:val="auto"/>
                <w:kern w:val="2"/>
                <w:sz w:val="24"/>
                <w:szCs w:val="32"/>
                <w:lang w:eastAsia="zh-CN"/>
              </w:rPr>
              <w:t>；</w:t>
            </w:r>
          </w:p>
          <w:p>
            <w:pPr>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微软雅黑" w:cs="Times New Roman"/>
                <w:color w:val="auto"/>
                <w:kern w:val="2"/>
                <w:sz w:val="24"/>
                <w:szCs w:val="32"/>
              </w:rPr>
              <w:t>⑫</w:t>
            </w:r>
            <w:r>
              <w:rPr>
                <w:rFonts w:hint="default" w:ascii="Times New Roman" w:hAnsi="Times New Roman" w:eastAsia="方正仿宋_GB2312" w:cs="Times New Roman"/>
                <w:color w:val="auto"/>
                <w:kern w:val="2"/>
                <w:sz w:val="24"/>
                <w:szCs w:val="32"/>
              </w:rPr>
              <w:t>年新增教学科研仪器设备值所占比例统计表；</w:t>
            </w:r>
          </w:p>
          <w:p>
            <w:pPr>
              <w:spacing w:line="300" w:lineRule="exact"/>
              <w:ind w:left="0"/>
              <w:jc w:val="both"/>
              <w:textAlignment w:val="auto"/>
              <w:rPr>
                <w:rFonts w:hint="default" w:ascii="Times New Roman" w:hAnsi="Times New Roman" w:eastAsia="方正仿宋_GB2312" w:cs="Times New Roman"/>
                <w:color w:val="auto"/>
                <w:kern w:val="2"/>
                <w:sz w:val="24"/>
                <w:szCs w:val="32"/>
                <w:lang w:eastAsia="zh-CN"/>
              </w:rPr>
            </w:pPr>
            <w:r>
              <w:rPr>
                <w:rFonts w:hint="default" w:ascii="Times New Roman" w:hAnsi="Times New Roman" w:eastAsia="微软雅黑" w:cs="Times New Roman"/>
                <w:color w:val="auto"/>
                <w:kern w:val="2"/>
                <w:sz w:val="24"/>
                <w:szCs w:val="32"/>
              </w:rPr>
              <w:t>⑬</w:t>
            </w:r>
            <w:r>
              <w:rPr>
                <w:rFonts w:hint="default" w:ascii="Times New Roman" w:hAnsi="Times New Roman" w:eastAsia="方正仿宋_GB2312" w:cs="Times New Roman"/>
                <w:color w:val="auto"/>
                <w:kern w:val="2"/>
                <w:sz w:val="24"/>
                <w:szCs w:val="32"/>
              </w:rPr>
              <w:t>生均教学科研仪器设备值统计表</w:t>
            </w:r>
            <w:r>
              <w:rPr>
                <w:rFonts w:hint="default" w:ascii="Times New Roman" w:hAnsi="Times New Roman" w:eastAsia="方正仿宋_GB2312" w:cs="Times New Roman"/>
                <w:color w:val="auto"/>
                <w:kern w:val="2"/>
                <w:sz w:val="24"/>
                <w:szCs w:val="32"/>
                <w:lang w:eastAsia="zh-CN"/>
              </w:rPr>
              <w:t>；</w:t>
            </w:r>
          </w:p>
          <w:p>
            <w:pPr>
              <w:spacing w:line="300" w:lineRule="exact"/>
              <w:ind w:left="0"/>
              <w:jc w:val="both"/>
              <w:textAlignment w:val="auto"/>
              <w:rPr>
                <w:rFonts w:hint="default" w:ascii="Times New Roman" w:hAnsi="Times New Roman" w:eastAsia="方正仿宋_GB2312" w:cs="Times New Roman"/>
                <w:color w:val="auto"/>
                <w:kern w:val="2"/>
                <w:sz w:val="24"/>
                <w:szCs w:val="32"/>
                <w:lang w:eastAsia="zh-CN"/>
              </w:rPr>
            </w:pPr>
            <w:r>
              <w:rPr>
                <w:rFonts w:hint="default" w:ascii="Times New Roman" w:hAnsi="Times New Roman" w:eastAsia="微软雅黑" w:cs="Times New Roman"/>
                <w:color w:val="auto"/>
                <w:kern w:val="2"/>
                <w:sz w:val="24"/>
                <w:szCs w:val="32"/>
              </w:rPr>
              <w:t>⑭</w:t>
            </w:r>
            <w:r>
              <w:rPr>
                <w:rFonts w:hint="default" w:ascii="Times New Roman" w:hAnsi="Times New Roman" w:eastAsia="方正仿宋_GB2312" w:cs="Times New Roman"/>
                <w:color w:val="auto"/>
                <w:kern w:val="2"/>
                <w:sz w:val="24"/>
                <w:szCs w:val="32"/>
              </w:rPr>
              <w:t>各职能部门结合工作职责，落实“以本为本”、“八个</w:t>
            </w:r>
            <w:r>
              <w:rPr>
                <w:rFonts w:hint="default" w:ascii="Times New Roman" w:hAnsi="Times New Roman" w:eastAsia="方正仿宋_GB2312" w:cs="Times New Roman"/>
                <w:color w:val="auto"/>
                <w:kern w:val="2"/>
                <w:sz w:val="24"/>
                <w:szCs w:val="32"/>
                <w:lang w:val="en-US" w:eastAsia="zh-CN"/>
              </w:rPr>
              <w:t>优</w:t>
            </w:r>
            <w:r>
              <w:rPr>
                <w:rFonts w:hint="default" w:ascii="Times New Roman" w:hAnsi="Times New Roman" w:eastAsia="方正仿宋_GB2312" w:cs="Times New Roman"/>
                <w:color w:val="auto"/>
                <w:kern w:val="2"/>
                <w:sz w:val="24"/>
                <w:szCs w:val="32"/>
              </w:rPr>
              <w:t>先”，围绕教学中心地位开展服务工作</w:t>
            </w:r>
            <w:r>
              <w:rPr>
                <w:rFonts w:hint="default" w:ascii="Times New Roman" w:hAnsi="Times New Roman" w:eastAsia="方正仿宋_GB2312" w:cs="Times New Roman"/>
                <w:color w:val="auto"/>
                <w:kern w:val="2"/>
                <w:sz w:val="24"/>
                <w:szCs w:val="32"/>
                <w:lang w:val="en-US" w:eastAsia="zh-CN"/>
              </w:rPr>
              <w:t>情况汇总</w:t>
            </w:r>
            <w:r>
              <w:rPr>
                <w:rFonts w:hint="default" w:ascii="Times New Roman" w:hAnsi="Times New Roman" w:eastAsia="方正仿宋_GB2312" w:cs="Times New Roman"/>
                <w:color w:val="auto"/>
                <w:kern w:val="2"/>
                <w:sz w:val="24"/>
                <w:szCs w:val="32"/>
                <w:lang w:eastAsia="zh-CN"/>
              </w:rPr>
              <w:t>；</w:t>
            </w:r>
          </w:p>
          <w:p>
            <w:pPr>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微软雅黑" w:cs="Times New Roman"/>
                <w:color w:val="auto"/>
                <w:kern w:val="2"/>
                <w:sz w:val="24"/>
                <w:szCs w:val="32"/>
                <w:lang w:eastAsia="zh-CN"/>
              </w:rPr>
              <w:t>⑮</w:t>
            </w:r>
            <w:r>
              <w:rPr>
                <w:rFonts w:hint="default" w:ascii="Times New Roman" w:hAnsi="Times New Roman" w:eastAsia="方正仿宋_GB2312" w:cs="Times New Roman"/>
                <w:color w:val="auto"/>
                <w:kern w:val="2"/>
                <w:sz w:val="24"/>
                <w:szCs w:val="32"/>
                <w:lang w:eastAsia="zh-CN"/>
              </w:rPr>
              <w:t>年度绩效考核中，本科教育教学占有比重</w:t>
            </w:r>
            <w:r>
              <w:rPr>
                <w:rFonts w:hint="default" w:ascii="Times New Roman" w:hAnsi="Times New Roman" w:eastAsia="方正仿宋_GB2312" w:cs="Times New Roman"/>
                <w:color w:val="auto"/>
                <w:kern w:val="2"/>
                <w:sz w:val="24"/>
                <w:szCs w:val="32"/>
                <w:lang w:val="en-US" w:eastAsia="zh-CN"/>
              </w:rPr>
              <w:t>统计表。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286" w:type="pct"/>
            <w:vMerge w:val="continue"/>
            <w:vAlign w:val="center"/>
          </w:tcPr>
          <w:p>
            <w:pPr>
              <w:widowControl/>
              <w:spacing w:line="300" w:lineRule="exact"/>
              <w:ind w:left="0"/>
              <w:jc w:val="left"/>
              <w:textAlignment w:val="auto"/>
              <w:rPr>
                <w:rFonts w:hint="default" w:ascii="Times New Roman" w:hAnsi="Times New Roman" w:eastAsia="等线" w:cs="Times New Roman"/>
                <w:b/>
                <w:bCs/>
                <w:color w:val="auto"/>
                <w:kern w:val="0"/>
                <w:sz w:val="24"/>
                <w:szCs w:val="21"/>
              </w:rPr>
            </w:pPr>
          </w:p>
        </w:tc>
        <w:tc>
          <w:tcPr>
            <w:tcW w:w="553"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1460" w:type="pct"/>
            <w:gridSpan w:val="2"/>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1.3.2 “四个回归”的实现情况，推进学生刻苦读书学习、教师潜心教书育人、学校倾心培养社会主义建设者和接班人等方面的举措与成效</w:t>
            </w:r>
          </w:p>
        </w:tc>
        <w:tc>
          <w:tcPr>
            <w:tcW w:w="41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人事处和学生处（牵头）、教务处、团委</w:t>
            </w:r>
          </w:p>
        </w:tc>
        <w:tc>
          <w:tcPr>
            <w:tcW w:w="1337" w:type="pct"/>
            <w:vMerge w:val="continue"/>
            <w:vAlign w:val="center"/>
          </w:tcPr>
          <w:p>
            <w:pPr>
              <w:spacing w:line="300" w:lineRule="exact"/>
              <w:ind w:left="0"/>
              <w:jc w:val="both"/>
              <w:textAlignment w:val="auto"/>
              <w:rPr>
                <w:rFonts w:hint="default" w:ascii="Times New Roman" w:hAnsi="Times New Roman" w:eastAsia="方正仿宋_GB2312" w:cs="Times New Roman"/>
                <w:color w:val="auto"/>
                <w:kern w:val="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286" w:type="pct"/>
            <w:vMerge w:val="continue"/>
            <w:vAlign w:val="center"/>
          </w:tcPr>
          <w:p>
            <w:pPr>
              <w:widowControl/>
              <w:spacing w:line="300" w:lineRule="exact"/>
              <w:ind w:left="0"/>
              <w:jc w:val="left"/>
              <w:textAlignment w:val="auto"/>
              <w:rPr>
                <w:rFonts w:hint="default" w:ascii="Times New Roman" w:hAnsi="Times New Roman" w:eastAsia="等线" w:cs="Times New Roman"/>
                <w:b/>
                <w:bCs/>
                <w:color w:val="auto"/>
                <w:kern w:val="0"/>
                <w:sz w:val="24"/>
                <w:szCs w:val="21"/>
              </w:rPr>
            </w:pPr>
          </w:p>
        </w:tc>
        <w:tc>
          <w:tcPr>
            <w:tcW w:w="553"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1460" w:type="pct"/>
            <w:gridSpan w:val="2"/>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1.3.3 教学经费、教学资源条件、教师精力投入等优先保障本科教学的机制建设情况</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【必选】生均年教学日常运行支出≥1200元（</w:t>
            </w:r>
            <w:r>
              <w:rPr>
                <w:rFonts w:hint="default" w:ascii="Times New Roman" w:hAnsi="Times New Roman" w:eastAsia="方正仿宋_GB2312" w:cs="Times New Roman"/>
                <w:color w:val="auto"/>
                <w:kern w:val="2"/>
                <w:sz w:val="24"/>
                <w:szCs w:val="32"/>
                <w:lang w:val="en-US" w:eastAsia="zh-CN"/>
              </w:rPr>
              <w:t>要求见</w:t>
            </w:r>
            <w:r>
              <w:rPr>
                <w:rFonts w:hint="default" w:ascii="Times New Roman" w:hAnsi="Times New Roman" w:eastAsia="方正仿宋_GB2312" w:cs="Times New Roman"/>
                <w:color w:val="auto"/>
                <w:kern w:val="2"/>
                <w:sz w:val="24"/>
                <w:szCs w:val="32"/>
              </w:rPr>
              <w:t>备注5）</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【必选】教学日常运行支出占经常性预算内教育事业费拨款（205类教育拨款扣除专项拨款）与学费收入之和的比例≥13%（教学日常运行支出统计要求见备注5）</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【必选】年新增教学科研仪器设备值所占比例（要求见备注6）</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【必选】生均教学科研仪器设备值（要求见备注7）</w:t>
            </w:r>
          </w:p>
        </w:tc>
        <w:tc>
          <w:tcPr>
            <w:tcW w:w="41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财务处（牵头）、教务处、国资处</w:t>
            </w:r>
          </w:p>
        </w:tc>
        <w:tc>
          <w:tcPr>
            <w:tcW w:w="1337" w:type="pct"/>
            <w:vMerge w:val="continue"/>
            <w:vAlign w:val="center"/>
          </w:tcPr>
          <w:p>
            <w:pPr>
              <w:spacing w:line="300" w:lineRule="exact"/>
              <w:ind w:left="0"/>
              <w:jc w:val="both"/>
              <w:textAlignment w:val="auto"/>
              <w:rPr>
                <w:rFonts w:hint="default" w:ascii="Times New Roman" w:hAnsi="Times New Roman" w:eastAsia="方正仿宋_GB2312" w:cs="Times New Roman"/>
                <w:color w:val="auto"/>
                <w:kern w:val="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286" w:type="pct"/>
            <w:vMerge w:val="continue"/>
            <w:vAlign w:val="center"/>
          </w:tcPr>
          <w:p>
            <w:pPr>
              <w:widowControl/>
              <w:spacing w:line="300" w:lineRule="exact"/>
              <w:ind w:left="0"/>
              <w:jc w:val="left"/>
              <w:textAlignment w:val="auto"/>
              <w:rPr>
                <w:rFonts w:hint="default" w:ascii="Times New Roman" w:hAnsi="Times New Roman" w:eastAsia="等线" w:cs="Times New Roman"/>
                <w:b/>
                <w:bCs/>
                <w:color w:val="auto"/>
                <w:kern w:val="0"/>
                <w:sz w:val="24"/>
                <w:szCs w:val="21"/>
              </w:rPr>
            </w:pPr>
          </w:p>
        </w:tc>
        <w:tc>
          <w:tcPr>
            <w:tcW w:w="553"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1460" w:type="pct"/>
            <w:gridSpan w:val="2"/>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1.3.4 学校各职能部门服务本科教育教学工作情况，本科教育教学工作在学校年度考核中的比重情况</w:t>
            </w:r>
          </w:p>
        </w:tc>
        <w:tc>
          <w:tcPr>
            <w:tcW w:w="41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人事处（牵头）、各职能部门</w:t>
            </w:r>
          </w:p>
        </w:tc>
        <w:tc>
          <w:tcPr>
            <w:tcW w:w="133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286" w:type="pct"/>
            <w:vMerge w:val="restart"/>
            <w:vAlign w:val="center"/>
          </w:tcPr>
          <w:p>
            <w:pPr>
              <w:spacing w:line="300" w:lineRule="exact"/>
              <w:ind w:left="0"/>
              <w:jc w:val="left"/>
              <w:textAlignment w:val="auto"/>
              <w:rPr>
                <w:rFonts w:hint="default" w:ascii="Times New Roman" w:hAnsi="Times New Roman" w:eastAsia="等线" w:cs="Times New Roman"/>
                <w:color w:val="auto"/>
                <w:kern w:val="0"/>
                <w:sz w:val="24"/>
                <w:szCs w:val="21"/>
              </w:rPr>
            </w:pPr>
            <w:r>
              <w:rPr>
                <w:rFonts w:hint="default" w:ascii="Times New Roman" w:hAnsi="Times New Roman" w:eastAsia="方正仿宋_GB2312" w:cs="Times New Roman"/>
                <w:color w:val="auto"/>
                <w:kern w:val="2"/>
                <w:sz w:val="24"/>
                <w:szCs w:val="32"/>
              </w:rPr>
              <w:t>2.培养过程</w:t>
            </w:r>
          </w:p>
        </w:tc>
        <w:tc>
          <w:tcPr>
            <w:tcW w:w="553" w:type="pct"/>
            <w:vMerge w:val="restar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2.1培养方案</w:t>
            </w:r>
          </w:p>
        </w:tc>
        <w:tc>
          <w:tcPr>
            <w:tcW w:w="1460" w:type="pct"/>
            <w:gridSpan w:val="2"/>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2.1.1 培养目标符合学校定位、适应社会经济发展需要、体现学生德智体美劳全面发展情况</w:t>
            </w:r>
          </w:p>
        </w:tc>
        <w:tc>
          <w:tcPr>
            <w:tcW w:w="417" w:type="pct"/>
            <w:vMerge w:val="restar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分管教学工作的副校长</w:t>
            </w:r>
          </w:p>
        </w:tc>
        <w:tc>
          <w:tcPr>
            <w:tcW w:w="369" w:type="pct"/>
            <w:vMerge w:val="restar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教务处</w:t>
            </w:r>
          </w:p>
        </w:tc>
        <w:tc>
          <w:tcPr>
            <w:tcW w:w="57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教务处</w:t>
            </w:r>
          </w:p>
        </w:tc>
        <w:tc>
          <w:tcPr>
            <w:tcW w:w="1337" w:type="pct"/>
            <w:vMerge w:val="restart"/>
            <w:shd w:val="clear" w:color="auto" w:fill="auto"/>
            <w:vAlign w:val="center"/>
          </w:tcPr>
          <w:p>
            <w:pPr>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①学校专业发展规划；</w:t>
            </w:r>
          </w:p>
          <w:p>
            <w:pPr>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②学校人才培养方案相关内容</w:t>
            </w:r>
            <w:r>
              <w:rPr>
                <w:rFonts w:hint="default" w:ascii="Times New Roman" w:hAnsi="Times New Roman" w:eastAsia="方正仿宋_GB2312" w:cs="Times New Roman"/>
                <w:color w:val="auto"/>
                <w:kern w:val="2"/>
                <w:sz w:val="24"/>
                <w:szCs w:val="32"/>
                <w:lang w:eastAsia="zh-CN"/>
              </w:rPr>
              <w:t>，充分体现“三全育人”、“五育并举”、“全面发展”的培养要求</w:t>
            </w:r>
            <w:r>
              <w:rPr>
                <w:rFonts w:hint="default" w:ascii="Times New Roman" w:hAnsi="Times New Roman" w:eastAsia="方正仿宋_GB2312" w:cs="Times New Roman"/>
                <w:color w:val="auto"/>
                <w:kern w:val="2"/>
                <w:sz w:val="24"/>
                <w:szCs w:val="32"/>
              </w:rPr>
              <w:t>；</w:t>
            </w:r>
          </w:p>
          <w:p>
            <w:pPr>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③学生毕业必须修满的公共艺术课程学分数统计表；</w:t>
            </w:r>
          </w:p>
          <w:p>
            <w:pPr>
              <w:spacing w:line="300" w:lineRule="exact"/>
              <w:ind w:left="0"/>
              <w:jc w:val="both"/>
              <w:textAlignment w:val="auto"/>
              <w:rPr>
                <w:rFonts w:hint="default" w:ascii="Times New Roman" w:hAnsi="Times New Roman" w:eastAsia="方正仿宋_GB2312" w:cs="Times New Roman"/>
                <w:color w:val="auto"/>
                <w:kern w:val="2"/>
                <w:sz w:val="24"/>
                <w:szCs w:val="32"/>
                <w:lang w:val="en-US" w:eastAsia="zh-CN"/>
              </w:rPr>
            </w:pPr>
            <w:r>
              <w:rPr>
                <w:rFonts w:hint="default" w:ascii="Times New Roman" w:hAnsi="Times New Roman" w:eastAsia="方正仿宋_GB2312" w:cs="Times New Roman"/>
                <w:color w:val="auto"/>
                <w:kern w:val="2"/>
                <w:sz w:val="24"/>
                <w:szCs w:val="32"/>
              </w:rPr>
              <w:t>④劳动教育必修课或必修课程中劳动教育模块学时总数统计表。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286" w:type="pct"/>
            <w:vMerge w:val="continue"/>
            <w:vAlign w:val="center"/>
          </w:tcPr>
          <w:p>
            <w:pPr>
              <w:spacing w:line="300" w:lineRule="exact"/>
              <w:ind w:left="0"/>
              <w:jc w:val="left"/>
              <w:textAlignment w:val="auto"/>
              <w:rPr>
                <w:rFonts w:hint="default" w:ascii="Times New Roman" w:hAnsi="Times New Roman" w:eastAsia="等线" w:cs="Times New Roman"/>
                <w:color w:val="auto"/>
                <w:kern w:val="0"/>
                <w:sz w:val="24"/>
                <w:szCs w:val="21"/>
              </w:rPr>
            </w:pPr>
          </w:p>
        </w:tc>
        <w:tc>
          <w:tcPr>
            <w:tcW w:w="553"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1460" w:type="pct"/>
            <w:gridSpan w:val="2"/>
            <w:vAlign w:val="center"/>
          </w:tcPr>
          <w:p>
            <w:pPr>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2.1.2 培养方案符合国家专业类标准、体现产出导向理念情况</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【必选】学生毕业必须修满的公共艺术课程学分数≥2学分</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【必选】劳动教育必修课或必修课程中劳动教育模块学时总数≥32学时</w:t>
            </w:r>
          </w:p>
        </w:tc>
        <w:tc>
          <w:tcPr>
            <w:tcW w:w="41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教务处</w:t>
            </w:r>
          </w:p>
        </w:tc>
        <w:tc>
          <w:tcPr>
            <w:tcW w:w="133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jc w:val="center"/>
        </w:trPr>
        <w:tc>
          <w:tcPr>
            <w:tcW w:w="286" w:type="pct"/>
            <w:vMerge w:val="continue"/>
            <w:vAlign w:val="center"/>
          </w:tcPr>
          <w:p>
            <w:pPr>
              <w:spacing w:line="300" w:lineRule="exact"/>
              <w:ind w:left="0"/>
              <w:jc w:val="left"/>
              <w:textAlignment w:val="auto"/>
              <w:rPr>
                <w:rFonts w:hint="default" w:ascii="Times New Roman" w:hAnsi="Times New Roman" w:eastAsia="等线" w:cs="Times New Roman"/>
                <w:color w:val="auto"/>
                <w:kern w:val="0"/>
                <w:sz w:val="24"/>
                <w:szCs w:val="21"/>
              </w:rPr>
            </w:pPr>
          </w:p>
        </w:tc>
        <w:tc>
          <w:tcPr>
            <w:tcW w:w="553"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4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B 2.1.3</w:t>
            </w:r>
          </w:p>
        </w:tc>
        <w:tc>
          <w:tcPr>
            <w:tcW w:w="1116" w:type="pct"/>
            <w:vAlign w:val="center"/>
          </w:tcPr>
          <w:p>
            <w:pPr>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B2 培养方案强化实践教学、突出实验实训内容的基础性和应用性、注重培养学生应用能力情况</w:t>
            </w:r>
          </w:p>
        </w:tc>
        <w:tc>
          <w:tcPr>
            <w:tcW w:w="417" w:type="pct"/>
            <w:vMerge w:val="continue"/>
            <w:vAlign w:val="center"/>
          </w:tcPr>
          <w:p>
            <w:pPr>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Align w:val="center"/>
          </w:tcPr>
          <w:p>
            <w:pPr>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教务处（牵头）、现代技术中心</w:t>
            </w:r>
          </w:p>
        </w:tc>
        <w:tc>
          <w:tcPr>
            <w:tcW w:w="1337" w:type="pct"/>
            <w:vMerge w:val="continue"/>
            <w:vAlign w:val="center"/>
          </w:tcPr>
          <w:p>
            <w:pPr>
              <w:spacing w:line="300" w:lineRule="exact"/>
              <w:ind w:left="0"/>
              <w:jc w:val="both"/>
              <w:textAlignment w:val="auto"/>
              <w:rPr>
                <w:rFonts w:hint="default" w:ascii="Times New Roman" w:hAnsi="Times New Roman" w:eastAsia="方正仿宋_GB2312" w:cs="Times New Roman"/>
                <w:color w:val="auto"/>
                <w:kern w:val="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4" w:hRule="atLeast"/>
          <w:jc w:val="center"/>
        </w:trPr>
        <w:tc>
          <w:tcPr>
            <w:tcW w:w="286" w:type="pct"/>
            <w:vMerge w:val="continue"/>
            <w:vAlign w:val="center"/>
          </w:tcPr>
          <w:p>
            <w:pPr>
              <w:spacing w:line="300" w:lineRule="exact"/>
              <w:ind w:left="0"/>
              <w:jc w:val="left"/>
              <w:textAlignment w:val="auto"/>
              <w:rPr>
                <w:rFonts w:hint="default" w:ascii="Times New Roman" w:hAnsi="Times New Roman" w:eastAsia="等线" w:cs="Times New Roman"/>
                <w:color w:val="auto"/>
                <w:kern w:val="0"/>
                <w:sz w:val="24"/>
                <w:szCs w:val="21"/>
              </w:rPr>
            </w:pPr>
          </w:p>
        </w:tc>
        <w:tc>
          <w:tcPr>
            <w:tcW w:w="553" w:type="pct"/>
            <w:vMerge w:val="restar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2.2专业建设</w:t>
            </w:r>
          </w:p>
        </w:tc>
        <w:tc>
          <w:tcPr>
            <w:tcW w:w="344" w:type="pct"/>
            <w:vAlign w:val="center"/>
          </w:tcPr>
          <w:p>
            <w:pPr>
              <w:widowControl/>
              <w:tabs>
                <w:tab w:val="left" w:pos="2257"/>
              </w:tabs>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B 2.2.1</w:t>
            </w:r>
          </w:p>
        </w:tc>
        <w:tc>
          <w:tcPr>
            <w:tcW w:w="1116"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B2 专业设置、专业建设与国家需要、区域经济社会发展及产业发展对应用型人才需求的契合情况</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【必选】通过认证（评估）的专业占专业总数的比例</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【可选】近三年新增专业数</w:t>
            </w:r>
          </w:p>
          <w:p>
            <w:pPr>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【可选】近三年停招专业数</w:t>
            </w:r>
          </w:p>
        </w:tc>
        <w:tc>
          <w:tcPr>
            <w:tcW w:w="417" w:type="pct"/>
            <w:vMerge w:val="continue"/>
            <w:vAlign w:val="center"/>
          </w:tcPr>
          <w:p>
            <w:pPr>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Align w:val="center"/>
          </w:tcPr>
          <w:p>
            <w:pPr>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教务处</w:t>
            </w:r>
          </w:p>
        </w:tc>
        <w:tc>
          <w:tcPr>
            <w:tcW w:w="1337" w:type="pct"/>
            <w:vMerge w:val="restart"/>
            <w:vAlign w:val="center"/>
          </w:tcPr>
          <w:p>
            <w:pPr>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①学校专业建设规划相关内容；</w:t>
            </w:r>
          </w:p>
          <w:p>
            <w:pPr>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②学校制订出台的专业建设方面的制度文件；</w:t>
            </w:r>
          </w:p>
          <w:p>
            <w:pPr>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③学校专业设置、布局情况统计分析；</w:t>
            </w:r>
          </w:p>
          <w:p>
            <w:pPr>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④通过认证（评估）的专业占专业总数的比例统计表；</w:t>
            </w:r>
          </w:p>
          <w:p>
            <w:pPr>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⑤近三年新增专业数统计表；</w:t>
            </w:r>
          </w:p>
          <w:p>
            <w:pPr>
              <w:spacing w:line="300" w:lineRule="exact"/>
              <w:ind w:left="0"/>
              <w:jc w:val="both"/>
              <w:textAlignment w:val="auto"/>
              <w:rPr>
                <w:rFonts w:hint="default" w:ascii="Times New Roman" w:hAnsi="Times New Roman" w:eastAsia="方正仿宋_GB2312" w:cs="Times New Roman"/>
                <w:color w:val="auto"/>
                <w:kern w:val="2"/>
                <w:sz w:val="24"/>
                <w:szCs w:val="32"/>
                <w:lang w:eastAsia="zh-CN"/>
              </w:rPr>
            </w:pPr>
            <w:r>
              <w:rPr>
                <w:rFonts w:hint="default" w:ascii="Times New Roman" w:hAnsi="Times New Roman" w:eastAsia="方正仿宋_GB2312" w:cs="Times New Roman"/>
                <w:color w:val="auto"/>
                <w:kern w:val="2"/>
                <w:sz w:val="24"/>
                <w:szCs w:val="32"/>
              </w:rPr>
              <w:t>⑥近三年停招专业数统计表</w:t>
            </w:r>
            <w:r>
              <w:rPr>
                <w:rFonts w:hint="default" w:ascii="Times New Roman" w:hAnsi="Times New Roman" w:eastAsia="方正仿宋_GB2312" w:cs="Times New Roman"/>
                <w:color w:val="auto"/>
                <w:kern w:val="2"/>
                <w:sz w:val="24"/>
                <w:szCs w:val="32"/>
                <w:lang w:eastAsia="zh-CN"/>
              </w:rPr>
              <w:t>；</w:t>
            </w:r>
          </w:p>
          <w:p>
            <w:pPr>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⑦学校近三年辅修、微专业和双学士学位学生人数</w:t>
            </w:r>
            <w:r>
              <w:rPr>
                <w:rFonts w:hint="default" w:ascii="Times New Roman" w:hAnsi="Times New Roman" w:eastAsia="方正仿宋_GB2312" w:cs="Times New Roman"/>
                <w:color w:val="auto"/>
                <w:kern w:val="2"/>
                <w:sz w:val="24"/>
                <w:szCs w:val="32"/>
                <w:lang w:val="en-US" w:eastAsia="zh-CN"/>
              </w:rPr>
              <w:t>统计表。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0" w:hRule="atLeast"/>
          <w:jc w:val="center"/>
        </w:trPr>
        <w:tc>
          <w:tcPr>
            <w:tcW w:w="286" w:type="pct"/>
            <w:vMerge w:val="continue"/>
            <w:vAlign w:val="center"/>
          </w:tcPr>
          <w:p>
            <w:pPr>
              <w:spacing w:line="300" w:lineRule="exact"/>
              <w:ind w:left="0"/>
              <w:jc w:val="left"/>
              <w:textAlignment w:val="auto"/>
              <w:rPr>
                <w:rFonts w:hint="default" w:ascii="Times New Roman" w:hAnsi="Times New Roman" w:eastAsia="等线" w:cs="Times New Roman"/>
                <w:color w:val="auto"/>
                <w:kern w:val="0"/>
                <w:sz w:val="24"/>
                <w:szCs w:val="21"/>
              </w:rPr>
            </w:pPr>
          </w:p>
        </w:tc>
        <w:tc>
          <w:tcPr>
            <w:tcW w:w="553"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44" w:type="pct"/>
            <w:vAlign w:val="center"/>
          </w:tcPr>
          <w:p>
            <w:pPr>
              <w:tabs>
                <w:tab w:val="left" w:pos="2257"/>
              </w:tabs>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B 2.2.2</w:t>
            </w:r>
          </w:p>
        </w:tc>
        <w:tc>
          <w:tcPr>
            <w:tcW w:w="1116" w:type="pct"/>
            <w:vAlign w:val="center"/>
          </w:tcPr>
          <w:p>
            <w:pPr>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B2 围绕产业链、创新链建立自主性、灵活性与规范性、稳定性相统一的专业设置管理体系情况</w:t>
            </w:r>
          </w:p>
        </w:tc>
        <w:tc>
          <w:tcPr>
            <w:tcW w:w="417" w:type="pct"/>
            <w:vMerge w:val="continue"/>
            <w:vAlign w:val="center"/>
          </w:tcPr>
          <w:p>
            <w:pPr>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Align w:val="center"/>
          </w:tcPr>
          <w:p>
            <w:pPr>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教务处</w:t>
            </w:r>
          </w:p>
        </w:tc>
        <w:tc>
          <w:tcPr>
            <w:tcW w:w="1337" w:type="pct"/>
            <w:vMerge w:val="continue"/>
            <w:vAlign w:val="center"/>
          </w:tcPr>
          <w:p>
            <w:pPr>
              <w:spacing w:line="300" w:lineRule="exact"/>
              <w:ind w:left="0"/>
              <w:jc w:val="both"/>
              <w:textAlignment w:val="auto"/>
              <w:rPr>
                <w:rFonts w:hint="default" w:ascii="Times New Roman" w:hAnsi="Times New Roman" w:eastAsia="方正仿宋_GB2312" w:cs="Times New Roman"/>
                <w:color w:val="auto"/>
                <w:kern w:val="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286" w:type="pct"/>
            <w:vMerge w:val="continue"/>
            <w:vAlign w:val="center"/>
          </w:tcPr>
          <w:p>
            <w:pPr>
              <w:spacing w:line="300" w:lineRule="exact"/>
              <w:ind w:left="0"/>
              <w:jc w:val="left"/>
              <w:textAlignment w:val="auto"/>
              <w:rPr>
                <w:rFonts w:hint="default" w:ascii="Times New Roman" w:hAnsi="Times New Roman" w:eastAsia="等线" w:cs="Times New Roman"/>
                <w:color w:val="auto"/>
                <w:kern w:val="0"/>
                <w:sz w:val="24"/>
                <w:szCs w:val="21"/>
              </w:rPr>
            </w:pPr>
          </w:p>
        </w:tc>
        <w:tc>
          <w:tcPr>
            <w:tcW w:w="553"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1460" w:type="pct"/>
            <w:gridSpan w:val="2"/>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2.2.3 学校通过主辅修、微专业和双学士学位培养等举措促进复合型人才培养情况</w:t>
            </w:r>
          </w:p>
        </w:tc>
        <w:tc>
          <w:tcPr>
            <w:tcW w:w="41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教务处</w:t>
            </w:r>
          </w:p>
        </w:tc>
        <w:tc>
          <w:tcPr>
            <w:tcW w:w="133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286" w:type="pct"/>
            <w:vMerge w:val="continue"/>
            <w:vAlign w:val="center"/>
          </w:tcPr>
          <w:p>
            <w:pPr>
              <w:spacing w:line="300" w:lineRule="exact"/>
              <w:ind w:left="0"/>
              <w:jc w:val="left"/>
              <w:textAlignment w:val="auto"/>
              <w:rPr>
                <w:rFonts w:hint="default" w:ascii="Times New Roman" w:hAnsi="Times New Roman" w:eastAsia="等线" w:cs="Times New Roman"/>
                <w:color w:val="auto"/>
                <w:kern w:val="0"/>
                <w:sz w:val="24"/>
                <w:szCs w:val="21"/>
              </w:rPr>
            </w:pPr>
          </w:p>
        </w:tc>
        <w:tc>
          <w:tcPr>
            <w:tcW w:w="553" w:type="pct"/>
            <w:vMerge w:val="restar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2.3实践教学</w:t>
            </w:r>
          </w:p>
        </w:tc>
        <w:tc>
          <w:tcPr>
            <w:tcW w:w="1460" w:type="pct"/>
            <w:gridSpan w:val="2"/>
            <w:vAlign w:val="center"/>
          </w:tcPr>
          <w:p>
            <w:pPr>
              <w:tabs>
                <w:tab w:val="left" w:pos="2257"/>
              </w:tabs>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2.3.1 强化实践育人、构建实践教学体系、推动实践教学改革情况</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【必选】实践教学学分占总学分（学时）比例（人文社科类专业≥15%，理工农医类专业≥25%）</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【必选】国家级、省级实践教学基地（包括实验教学示范中心、虚拟仿真实验中心、临床教学培训示范中心、工程实践基地、农科教合作人才培养基地等）数</w:t>
            </w:r>
          </w:p>
        </w:tc>
        <w:tc>
          <w:tcPr>
            <w:tcW w:w="41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教务处（牵头）、学生处、现代技术中心、团委</w:t>
            </w:r>
          </w:p>
        </w:tc>
        <w:tc>
          <w:tcPr>
            <w:tcW w:w="1337" w:type="pct"/>
            <w:vMerge w:val="restar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①学校制订的实践教学方面的制度文件；</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②实践教学学分占总学分（学时）比例统计表；</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③学校设计性、综合性实验开设与实验室开放情况统计；</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④国家级、省级实践教学基地（包括实验教学示范中心、虚拟仿真实验中心、临床教学培训示范中心、工程实践基地、农科教合作人才培养基地等）统计表；</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⑤与行业企业共建的实验教学中心统计表；</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⑥近两年毕业论文（设计）一览表，包括选题来源情况统计分析等；</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⑦以实验、实习、工程实践和社会调查等实践性工作为基础的毕业论文（设计）比例统计表。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286" w:type="pct"/>
            <w:vMerge w:val="continue"/>
            <w:vAlign w:val="center"/>
          </w:tcPr>
          <w:p>
            <w:pPr>
              <w:spacing w:line="300" w:lineRule="exact"/>
              <w:ind w:left="0"/>
              <w:jc w:val="left"/>
              <w:textAlignment w:val="auto"/>
              <w:rPr>
                <w:rFonts w:hint="default" w:ascii="Times New Roman" w:hAnsi="Times New Roman" w:eastAsia="等线" w:cs="Times New Roman"/>
                <w:color w:val="auto"/>
                <w:kern w:val="0"/>
                <w:sz w:val="24"/>
                <w:szCs w:val="21"/>
              </w:rPr>
            </w:pPr>
          </w:p>
        </w:tc>
        <w:tc>
          <w:tcPr>
            <w:tcW w:w="553"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44" w:type="pct"/>
            <w:vAlign w:val="center"/>
          </w:tcPr>
          <w:p>
            <w:pPr>
              <w:tabs>
                <w:tab w:val="left" w:pos="2257"/>
              </w:tabs>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B 2.3.2</w:t>
            </w:r>
          </w:p>
        </w:tc>
        <w:tc>
          <w:tcPr>
            <w:tcW w:w="1116"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B2 学校与企业、行业单位共建实习实训基地情况</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【可选】与行业企业共建的实验教学中心数</w:t>
            </w:r>
          </w:p>
        </w:tc>
        <w:tc>
          <w:tcPr>
            <w:tcW w:w="41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教务处（牵头）、社会合作处</w:t>
            </w:r>
          </w:p>
        </w:tc>
        <w:tc>
          <w:tcPr>
            <w:tcW w:w="133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vMerge w:val="continue"/>
            <w:vAlign w:val="center"/>
          </w:tcPr>
          <w:p>
            <w:pPr>
              <w:spacing w:line="300" w:lineRule="exact"/>
              <w:ind w:left="0"/>
              <w:jc w:val="left"/>
              <w:textAlignment w:val="auto"/>
              <w:rPr>
                <w:rFonts w:hint="default" w:ascii="Times New Roman" w:hAnsi="Times New Roman" w:eastAsia="等线" w:cs="Times New Roman"/>
                <w:color w:val="auto"/>
                <w:kern w:val="0"/>
                <w:sz w:val="24"/>
                <w:szCs w:val="21"/>
              </w:rPr>
            </w:pPr>
          </w:p>
        </w:tc>
        <w:tc>
          <w:tcPr>
            <w:tcW w:w="553"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44" w:type="pct"/>
            <w:vAlign w:val="center"/>
          </w:tcPr>
          <w:p>
            <w:pPr>
              <w:tabs>
                <w:tab w:val="left" w:pos="2257"/>
              </w:tabs>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B 2.3.3</w:t>
            </w:r>
          </w:p>
        </w:tc>
        <w:tc>
          <w:tcPr>
            <w:tcW w:w="1116"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B2 毕业论文（设计）选题来自行业企业一线需要、实行校企“双导师”制情况及完成质量</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【必选】以实验、实习、工程实践和社会调查等实践性工作为基础的毕业论文（设计）比例≥50%</w:t>
            </w:r>
          </w:p>
        </w:tc>
        <w:tc>
          <w:tcPr>
            <w:tcW w:w="41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教务处</w:t>
            </w:r>
          </w:p>
        </w:tc>
        <w:tc>
          <w:tcPr>
            <w:tcW w:w="133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vMerge w:val="continue"/>
            <w:vAlign w:val="center"/>
          </w:tcPr>
          <w:p>
            <w:pPr>
              <w:spacing w:line="300" w:lineRule="exact"/>
              <w:ind w:left="0"/>
              <w:jc w:val="left"/>
              <w:textAlignment w:val="auto"/>
              <w:rPr>
                <w:rFonts w:hint="default" w:ascii="Times New Roman" w:hAnsi="Times New Roman" w:eastAsia="等线" w:cs="Times New Roman"/>
                <w:color w:val="auto"/>
                <w:kern w:val="0"/>
                <w:sz w:val="24"/>
                <w:szCs w:val="21"/>
              </w:rPr>
            </w:pPr>
          </w:p>
        </w:tc>
        <w:tc>
          <w:tcPr>
            <w:tcW w:w="553" w:type="pct"/>
            <w:vMerge w:val="restar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2.4课堂教学</w:t>
            </w:r>
          </w:p>
        </w:tc>
        <w:tc>
          <w:tcPr>
            <w:tcW w:w="1460" w:type="pct"/>
            <w:gridSpan w:val="2"/>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2.4.1 实施“以学为中心、以教为主导”的课堂教学，开展以学生学习成果为导向的教学评价情况</w:t>
            </w:r>
          </w:p>
        </w:tc>
        <w:tc>
          <w:tcPr>
            <w:tcW w:w="41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教务处（牵头）、学生处</w:t>
            </w:r>
          </w:p>
        </w:tc>
        <w:tc>
          <w:tcPr>
            <w:tcW w:w="1337" w:type="pct"/>
            <w:vMerge w:val="restar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①学校在课堂教学改革方面出台的制度文件或实施方案；</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②学校开展课堂教学质量评价方面的支撑材料等；</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③推进信息技术与教学过程融合</w:t>
            </w:r>
            <w:r>
              <w:rPr>
                <w:rFonts w:hint="default" w:ascii="Times New Roman" w:hAnsi="Times New Roman" w:eastAsia="方正仿宋_GB2312" w:cs="Times New Roman"/>
                <w:color w:val="auto"/>
                <w:kern w:val="2"/>
                <w:sz w:val="24"/>
                <w:szCs w:val="32"/>
                <w:lang w:eastAsia="zh-CN"/>
              </w:rPr>
              <w:t>、</w:t>
            </w:r>
            <w:r>
              <w:rPr>
                <w:rFonts w:hint="default" w:ascii="Times New Roman" w:hAnsi="Times New Roman" w:eastAsia="方正仿宋_GB2312" w:cs="Times New Roman"/>
                <w:color w:val="auto"/>
                <w:kern w:val="2"/>
                <w:sz w:val="24"/>
                <w:szCs w:val="32"/>
              </w:rPr>
              <w:t>加强信息化教学环境与资源建设情况</w:t>
            </w:r>
            <w:r>
              <w:rPr>
                <w:rFonts w:hint="default" w:ascii="Times New Roman" w:hAnsi="Times New Roman" w:eastAsia="方正仿宋_GB2312" w:cs="Times New Roman"/>
                <w:color w:val="auto"/>
                <w:kern w:val="2"/>
                <w:sz w:val="24"/>
                <w:szCs w:val="32"/>
                <w:lang w:val="en-US" w:eastAsia="zh-CN"/>
              </w:rPr>
              <w:t>统计分析；</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④教材审核选用标准和选用程序的制度规定；</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lang w:eastAsia="zh-CN"/>
              </w:rPr>
            </w:pPr>
            <w:r>
              <w:rPr>
                <w:rFonts w:hint="default" w:ascii="Times New Roman" w:hAnsi="Times New Roman" w:eastAsia="方正仿宋_GB2312" w:cs="Times New Roman"/>
                <w:color w:val="auto"/>
                <w:kern w:val="2"/>
                <w:sz w:val="24"/>
                <w:szCs w:val="32"/>
              </w:rPr>
              <w:t>⑤教材选用工作出现负面问题处理机制</w:t>
            </w:r>
            <w:r>
              <w:rPr>
                <w:rFonts w:hint="default" w:ascii="Times New Roman" w:hAnsi="Times New Roman" w:eastAsia="方正仿宋_GB2312" w:cs="Times New Roman"/>
                <w:color w:val="auto"/>
                <w:kern w:val="2"/>
                <w:sz w:val="24"/>
                <w:szCs w:val="32"/>
                <w:lang w:val="en-US" w:eastAsia="zh-CN"/>
              </w:rPr>
              <w:t>文件</w:t>
            </w:r>
            <w:r>
              <w:rPr>
                <w:rFonts w:hint="default" w:ascii="Times New Roman" w:hAnsi="Times New Roman" w:eastAsia="方正仿宋_GB2312" w:cs="Times New Roman"/>
                <w:color w:val="auto"/>
                <w:kern w:val="2"/>
                <w:sz w:val="24"/>
                <w:szCs w:val="32"/>
                <w:lang w:eastAsia="zh-CN"/>
              </w:rPr>
              <w:t>；</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⑥使用马工程重点教材课程数量与学校应使用马工程重点教材课程数量的比例；</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⑦近五年公开出版的教材数统计表。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286" w:type="pct"/>
            <w:vMerge w:val="continue"/>
            <w:vAlign w:val="center"/>
          </w:tcPr>
          <w:p>
            <w:pPr>
              <w:spacing w:line="300" w:lineRule="exact"/>
              <w:ind w:left="0"/>
              <w:jc w:val="left"/>
              <w:textAlignment w:val="auto"/>
              <w:rPr>
                <w:rFonts w:hint="default" w:ascii="Times New Roman" w:hAnsi="Times New Roman" w:eastAsia="等线" w:cs="Times New Roman"/>
                <w:color w:val="auto"/>
                <w:kern w:val="0"/>
                <w:sz w:val="24"/>
                <w:szCs w:val="21"/>
              </w:rPr>
            </w:pPr>
          </w:p>
        </w:tc>
        <w:tc>
          <w:tcPr>
            <w:tcW w:w="553"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1460" w:type="pct"/>
            <w:gridSpan w:val="2"/>
            <w:vAlign w:val="center"/>
          </w:tcPr>
          <w:p>
            <w:pPr>
              <w:tabs>
                <w:tab w:val="left" w:pos="2257"/>
              </w:tabs>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2.4.2 推进信息技术与教学过程融合、加强信息化教学环境与资源建设情况</w:t>
            </w:r>
          </w:p>
        </w:tc>
        <w:tc>
          <w:tcPr>
            <w:tcW w:w="41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教务处（牵头）、现代技术中心</w:t>
            </w:r>
          </w:p>
        </w:tc>
        <w:tc>
          <w:tcPr>
            <w:tcW w:w="133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jc w:val="center"/>
        </w:trPr>
        <w:tc>
          <w:tcPr>
            <w:tcW w:w="286" w:type="pct"/>
            <w:vMerge w:val="continue"/>
            <w:vAlign w:val="center"/>
          </w:tcPr>
          <w:p>
            <w:pPr>
              <w:spacing w:line="300" w:lineRule="exact"/>
              <w:ind w:left="0"/>
              <w:jc w:val="left"/>
              <w:textAlignment w:val="auto"/>
              <w:rPr>
                <w:rFonts w:hint="default" w:ascii="Times New Roman" w:hAnsi="Times New Roman" w:eastAsia="等线" w:cs="Times New Roman"/>
                <w:color w:val="auto"/>
                <w:kern w:val="0"/>
                <w:sz w:val="24"/>
                <w:szCs w:val="21"/>
              </w:rPr>
            </w:pPr>
          </w:p>
        </w:tc>
        <w:tc>
          <w:tcPr>
            <w:tcW w:w="553"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1460" w:type="pct"/>
            <w:gridSpan w:val="2"/>
            <w:vAlign w:val="center"/>
          </w:tcPr>
          <w:p>
            <w:pPr>
              <w:tabs>
                <w:tab w:val="left" w:pos="2257"/>
              </w:tabs>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2.4.3</w:t>
            </w:r>
            <w:r>
              <w:rPr>
                <w:rFonts w:hint="default" w:ascii="Times New Roman" w:hAnsi="Times New Roman" w:eastAsia="方正仿宋_GB2312" w:cs="Times New Roman"/>
                <w:color w:val="auto"/>
                <w:kern w:val="2"/>
                <w:sz w:val="24"/>
                <w:szCs w:val="32"/>
                <w:lang w:val="en-US" w:eastAsia="zh-CN"/>
              </w:rPr>
              <w:t xml:space="preserve"> </w:t>
            </w:r>
            <w:r>
              <w:rPr>
                <w:rFonts w:hint="default" w:ascii="Times New Roman" w:hAnsi="Times New Roman" w:eastAsia="方正仿宋_GB2312" w:cs="Times New Roman"/>
                <w:color w:val="auto"/>
                <w:kern w:val="2"/>
                <w:sz w:val="24"/>
                <w:szCs w:val="32"/>
              </w:rPr>
              <w:t>建立健全教材管理机构和工作制度情况，依照教材审核选用标准和程序选用教材情况；推进马工程重点教材统一使用情况；对教材选用工作出现负面问题的处理情况</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【必选】使用马工程重点教材课程数量与学校应使用马工程重点教材课程数量的比例</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【可选】近五年公开出版的教材数</w:t>
            </w:r>
          </w:p>
        </w:tc>
        <w:tc>
          <w:tcPr>
            <w:tcW w:w="41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教务处（牵头）、宣传部、纪委办</w:t>
            </w:r>
          </w:p>
        </w:tc>
        <w:tc>
          <w:tcPr>
            <w:tcW w:w="133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vMerge w:val="continue"/>
            <w:vAlign w:val="center"/>
          </w:tcPr>
          <w:p>
            <w:pPr>
              <w:spacing w:line="300" w:lineRule="exact"/>
              <w:ind w:left="0"/>
              <w:jc w:val="left"/>
              <w:textAlignment w:val="auto"/>
              <w:rPr>
                <w:rFonts w:hint="default" w:ascii="Times New Roman" w:hAnsi="Times New Roman" w:eastAsia="等线" w:cs="Times New Roman"/>
                <w:color w:val="auto"/>
                <w:kern w:val="0"/>
                <w:sz w:val="24"/>
                <w:szCs w:val="21"/>
              </w:rPr>
            </w:pPr>
          </w:p>
        </w:tc>
        <w:tc>
          <w:tcPr>
            <w:tcW w:w="553" w:type="pct"/>
            <w:vMerge w:val="restart"/>
            <w:vAlign w:val="center"/>
          </w:tcPr>
          <w:p>
            <w:pPr>
              <w:widowControl/>
              <w:spacing w:line="300" w:lineRule="exact"/>
              <w:ind w:left="0"/>
              <w:jc w:val="center"/>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K 2.5卓越培养</w:t>
            </w:r>
          </w:p>
        </w:tc>
        <w:tc>
          <w:tcPr>
            <w:tcW w:w="34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K 2.5.1</w:t>
            </w:r>
          </w:p>
        </w:tc>
        <w:tc>
          <w:tcPr>
            <w:tcW w:w="1116"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K2 产教融合卓越人才培养模式改革及其实践效果</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【可选】产学合作协同育人项目数</w:t>
            </w:r>
          </w:p>
        </w:tc>
        <w:tc>
          <w:tcPr>
            <w:tcW w:w="41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教务处（牵头）、社会合作处</w:t>
            </w:r>
          </w:p>
        </w:tc>
        <w:tc>
          <w:tcPr>
            <w:tcW w:w="1337" w:type="pct"/>
            <w:vMerge w:val="restar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①推动产教融合卓越人才培养模式改革出台的相关政策与实践等；</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②产学合作协同育人项目数统计表；</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③学校专业建设、课程建设方面的建设规划和制度文件；</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④本科生生均课程门数统计表；</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⑤与行业企业共建、共同讲授的课程数统计表；</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⑥新工科、新农科、新医科、新文科</w:t>
            </w:r>
            <w:r>
              <w:rPr>
                <w:rFonts w:hint="default" w:ascii="Times New Roman" w:hAnsi="Times New Roman" w:eastAsia="方正仿宋_GB2312" w:cs="Times New Roman"/>
                <w:color w:val="auto"/>
                <w:kern w:val="2"/>
                <w:sz w:val="24"/>
                <w:szCs w:val="32"/>
                <w:lang w:val="en-US" w:eastAsia="zh-CN"/>
              </w:rPr>
              <w:t>规划与</w:t>
            </w:r>
            <w:r>
              <w:rPr>
                <w:rFonts w:hint="default" w:ascii="Times New Roman" w:hAnsi="Times New Roman" w:eastAsia="方正仿宋_GB2312" w:cs="Times New Roman"/>
                <w:color w:val="auto"/>
                <w:kern w:val="2"/>
                <w:sz w:val="24"/>
                <w:szCs w:val="32"/>
              </w:rPr>
              <w:t>建设方案；</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⑦一流专业建设、一流课程建设规划与建设方案；</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⑧优秀教材</w:t>
            </w:r>
            <w:r>
              <w:rPr>
                <w:rFonts w:hint="default" w:ascii="Times New Roman" w:hAnsi="Times New Roman" w:eastAsia="方正仿宋_GB2312" w:cs="Times New Roman"/>
                <w:color w:val="auto"/>
                <w:kern w:val="2"/>
                <w:sz w:val="24"/>
                <w:szCs w:val="32"/>
                <w:lang w:val="en-US" w:eastAsia="zh-CN"/>
              </w:rPr>
              <w:t>规划与</w:t>
            </w:r>
            <w:r>
              <w:rPr>
                <w:rFonts w:hint="default" w:ascii="Times New Roman" w:hAnsi="Times New Roman" w:eastAsia="方正仿宋_GB2312" w:cs="Times New Roman"/>
                <w:color w:val="auto"/>
                <w:kern w:val="2"/>
                <w:sz w:val="24"/>
                <w:szCs w:val="32"/>
              </w:rPr>
              <w:t>建设方案。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vMerge w:val="continue"/>
            <w:vAlign w:val="center"/>
          </w:tcPr>
          <w:p>
            <w:pPr>
              <w:spacing w:line="300" w:lineRule="exact"/>
              <w:ind w:left="0"/>
              <w:jc w:val="left"/>
              <w:textAlignment w:val="auto"/>
              <w:rPr>
                <w:rFonts w:hint="default" w:ascii="Times New Roman" w:hAnsi="Times New Roman" w:eastAsia="等线" w:cs="Times New Roman"/>
                <w:color w:val="auto"/>
                <w:kern w:val="0"/>
                <w:sz w:val="24"/>
                <w:szCs w:val="21"/>
              </w:rPr>
            </w:pPr>
          </w:p>
        </w:tc>
        <w:tc>
          <w:tcPr>
            <w:tcW w:w="553"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1460" w:type="pct"/>
            <w:gridSpan w:val="2"/>
            <w:vAlign w:val="center"/>
          </w:tcPr>
          <w:p>
            <w:pPr>
              <w:widowControl/>
              <w:tabs>
                <w:tab w:val="left" w:pos="2257"/>
              </w:tabs>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K 2.5.2 加强课程体系整体设计，优化公共课、专业基础课和专业课比例结构，提高课程建设规划性、系统性情况</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【必选】本科生生均课程门数</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【可选】与行业企业共建、共同讲授的课程数</w:t>
            </w:r>
          </w:p>
        </w:tc>
        <w:tc>
          <w:tcPr>
            <w:tcW w:w="41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教务处（牵头）、各学院</w:t>
            </w:r>
          </w:p>
        </w:tc>
        <w:tc>
          <w:tcPr>
            <w:tcW w:w="133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286" w:type="pct"/>
            <w:vMerge w:val="continue"/>
            <w:vAlign w:val="center"/>
          </w:tcPr>
          <w:p>
            <w:pPr>
              <w:spacing w:line="300" w:lineRule="exact"/>
              <w:ind w:left="0"/>
              <w:jc w:val="left"/>
              <w:textAlignment w:val="auto"/>
              <w:rPr>
                <w:rFonts w:hint="default" w:ascii="Times New Roman" w:hAnsi="Times New Roman" w:eastAsia="等线" w:cs="Times New Roman"/>
                <w:color w:val="auto"/>
                <w:kern w:val="0"/>
                <w:sz w:val="24"/>
                <w:szCs w:val="21"/>
              </w:rPr>
            </w:pPr>
          </w:p>
        </w:tc>
        <w:tc>
          <w:tcPr>
            <w:tcW w:w="553"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1460" w:type="pct"/>
            <w:gridSpan w:val="2"/>
            <w:vAlign w:val="center"/>
          </w:tcPr>
          <w:p>
            <w:pPr>
              <w:widowControl/>
              <w:tabs>
                <w:tab w:val="left" w:pos="2257"/>
              </w:tabs>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K 2.5.3 新工科、新农科、新医科、新文科建设以及围绕“培育高水平教学成果”开展教研教改项目建设的举措及实施成效</w:t>
            </w:r>
          </w:p>
        </w:tc>
        <w:tc>
          <w:tcPr>
            <w:tcW w:w="41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教务处</w:t>
            </w:r>
          </w:p>
        </w:tc>
        <w:tc>
          <w:tcPr>
            <w:tcW w:w="133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286" w:type="pct"/>
            <w:vMerge w:val="continue"/>
            <w:vAlign w:val="center"/>
          </w:tcPr>
          <w:p>
            <w:pPr>
              <w:spacing w:line="300" w:lineRule="exact"/>
              <w:ind w:left="0"/>
              <w:jc w:val="left"/>
              <w:textAlignment w:val="auto"/>
              <w:rPr>
                <w:rFonts w:hint="default" w:ascii="Times New Roman" w:hAnsi="Times New Roman" w:eastAsia="等线" w:cs="Times New Roman"/>
                <w:color w:val="auto"/>
                <w:kern w:val="0"/>
                <w:sz w:val="24"/>
                <w:szCs w:val="21"/>
              </w:rPr>
            </w:pPr>
          </w:p>
        </w:tc>
        <w:tc>
          <w:tcPr>
            <w:tcW w:w="553"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1460" w:type="pct"/>
            <w:gridSpan w:val="2"/>
            <w:vAlign w:val="center"/>
          </w:tcPr>
          <w:p>
            <w:pPr>
              <w:tabs>
                <w:tab w:val="left" w:pos="2257"/>
              </w:tabs>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K 2.5.4 一流专业“双万计划”建设举措及成效</w:t>
            </w:r>
          </w:p>
        </w:tc>
        <w:tc>
          <w:tcPr>
            <w:tcW w:w="41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教务处</w:t>
            </w:r>
          </w:p>
        </w:tc>
        <w:tc>
          <w:tcPr>
            <w:tcW w:w="133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286" w:type="pct"/>
            <w:vMerge w:val="continue"/>
            <w:vAlign w:val="center"/>
          </w:tcPr>
          <w:p>
            <w:pPr>
              <w:spacing w:line="300" w:lineRule="exact"/>
              <w:ind w:left="0"/>
              <w:jc w:val="left"/>
              <w:textAlignment w:val="auto"/>
              <w:rPr>
                <w:rFonts w:hint="default" w:ascii="Times New Roman" w:hAnsi="Times New Roman" w:eastAsia="等线" w:cs="Times New Roman"/>
                <w:color w:val="auto"/>
                <w:kern w:val="0"/>
                <w:sz w:val="24"/>
                <w:szCs w:val="21"/>
              </w:rPr>
            </w:pPr>
          </w:p>
        </w:tc>
        <w:tc>
          <w:tcPr>
            <w:tcW w:w="553"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1460" w:type="pct"/>
            <w:gridSpan w:val="2"/>
            <w:vAlign w:val="center"/>
          </w:tcPr>
          <w:p>
            <w:pPr>
              <w:tabs>
                <w:tab w:val="left" w:pos="2257"/>
              </w:tabs>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K 2.5.5 一流课程“双万计划”建设举措及成效</w:t>
            </w:r>
          </w:p>
        </w:tc>
        <w:tc>
          <w:tcPr>
            <w:tcW w:w="41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教务处</w:t>
            </w:r>
          </w:p>
        </w:tc>
        <w:tc>
          <w:tcPr>
            <w:tcW w:w="133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286" w:type="pct"/>
            <w:vMerge w:val="continue"/>
            <w:vAlign w:val="center"/>
          </w:tcPr>
          <w:p>
            <w:pPr>
              <w:spacing w:line="300" w:lineRule="exact"/>
              <w:ind w:left="0"/>
              <w:jc w:val="left"/>
              <w:textAlignment w:val="auto"/>
              <w:rPr>
                <w:rFonts w:hint="default" w:ascii="Times New Roman" w:hAnsi="Times New Roman" w:eastAsia="等线" w:cs="Times New Roman"/>
                <w:color w:val="auto"/>
                <w:kern w:val="0"/>
                <w:sz w:val="24"/>
                <w:szCs w:val="21"/>
              </w:rPr>
            </w:pPr>
          </w:p>
        </w:tc>
        <w:tc>
          <w:tcPr>
            <w:tcW w:w="553"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1460" w:type="pct"/>
            <w:gridSpan w:val="2"/>
            <w:vAlign w:val="center"/>
          </w:tcPr>
          <w:p>
            <w:pPr>
              <w:tabs>
                <w:tab w:val="left" w:pos="2257"/>
              </w:tabs>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K 2.5.6 优秀教材建设举措及成效</w:t>
            </w:r>
          </w:p>
        </w:tc>
        <w:tc>
          <w:tcPr>
            <w:tcW w:w="41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教务处</w:t>
            </w:r>
          </w:p>
        </w:tc>
        <w:tc>
          <w:tcPr>
            <w:tcW w:w="133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286" w:type="pct"/>
            <w:vMerge w:val="continue"/>
            <w:vAlign w:val="center"/>
          </w:tcPr>
          <w:p>
            <w:pPr>
              <w:widowControl/>
              <w:spacing w:line="300" w:lineRule="exact"/>
              <w:ind w:left="0"/>
              <w:jc w:val="left"/>
              <w:textAlignment w:val="auto"/>
              <w:rPr>
                <w:rFonts w:hint="default" w:ascii="Times New Roman" w:hAnsi="Times New Roman" w:eastAsia="等线" w:cs="Times New Roman"/>
                <w:color w:val="auto"/>
                <w:kern w:val="0"/>
                <w:sz w:val="24"/>
                <w:szCs w:val="21"/>
              </w:rPr>
            </w:pPr>
          </w:p>
        </w:tc>
        <w:tc>
          <w:tcPr>
            <w:tcW w:w="553" w:type="pct"/>
            <w:vMerge w:val="restart"/>
            <w:vAlign w:val="center"/>
          </w:tcPr>
          <w:p>
            <w:pPr>
              <w:widowControl/>
              <w:spacing w:line="300" w:lineRule="exact"/>
              <w:ind w:left="0"/>
              <w:jc w:val="center"/>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2.6创新创业教育</w:t>
            </w:r>
          </w:p>
        </w:tc>
        <w:tc>
          <w:tcPr>
            <w:tcW w:w="1460" w:type="pct"/>
            <w:gridSpan w:val="2"/>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2.6.1 创新创业教育工作体系与创新创业教育平台建设情况</w:t>
            </w:r>
          </w:p>
        </w:tc>
        <w:tc>
          <w:tcPr>
            <w:tcW w:w="41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教务处（牵头）、科技处、学生处、团委</w:t>
            </w:r>
          </w:p>
        </w:tc>
        <w:tc>
          <w:tcPr>
            <w:tcW w:w="1337" w:type="pct"/>
            <w:vMerge w:val="restar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①学校在创新创业教育方面制订出台的制度文件；</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②学校将创新创业教育融于培养方案，面向全体学生开展因材施教的举措与成效；</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③学校教师指导本科生开展创新创业训练的有关材料；</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④本科生参加各级各类创新创业实践活动人数及比例；</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⑤国家级大学生创新创业训练计划项目数、本科生参加国内外大赛的获奖项目、本科生发表的论文及获批国家发明专利等统计表；</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⑥“互联网+”大学生创新创业大赛获奖项目；</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lang w:eastAsia="zh-CN"/>
              </w:rPr>
            </w:pPr>
            <w:r>
              <w:rPr>
                <w:rFonts w:hint="default" w:ascii="Times New Roman" w:hAnsi="Times New Roman" w:eastAsia="方正仿宋_GB2312" w:cs="Times New Roman"/>
                <w:color w:val="auto"/>
                <w:kern w:val="2"/>
                <w:sz w:val="24"/>
                <w:szCs w:val="32"/>
              </w:rPr>
              <w:t>⑦省级以上学科竞赛获奖学生人次数占学生总数的比例</w:t>
            </w:r>
            <w:r>
              <w:rPr>
                <w:rFonts w:hint="default" w:ascii="Times New Roman" w:hAnsi="Times New Roman" w:eastAsia="方正仿宋_GB2312" w:cs="Times New Roman"/>
                <w:color w:val="auto"/>
                <w:kern w:val="2"/>
                <w:sz w:val="24"/>
                <w:szCs w:val="32"/>
                <w:lang w:eastAsia="zh-CN"/>
              </w:rPr>
              <w:t>；</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微软雅黑" w:cs="Times New Roman"/>
                <w:color w:val="auto"/>
                <w:kern w:val="2"/>
                <w:sz w:val="24"/>
                <w:szCs w:val="32"/>
              </w:rPr>
              <w:t>⑧</w:t>
            </w:r>
            <w:r>
              <w:rPr>
                <w:rFonts w:hint="default" w:ascii="Times New Roman" w:hAnsi="Times New Roman" w:eastAsia="方正仿宋_GB2312" w:cs="Times New Roman"/>
                <w:color w:val="auto"/>
                <w:kern w:val="2"/>
                <w:sz w:val="24"/>
                <w:szCs w:val="32"/>
              </w:rPr>
              <w:t>本科生创业典型材料等。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86" w:type="pct"/>
            <w:vMerge w:val="continue"/>
            <w:vAlign w:val="center"/>
          </w:tcPr>
          <w:p>
            <w:pPr>
              <w:widowControl/>
              <w:spacing w:line="300" w:lineRule="exact"/>
              <w:ind w:left="0"/>
              <w:jc w:val="left"/>
              <w:textAlignment w:val="auto"/>
              <w:rPr>
                <w:rFonts w:hint="default" w:ascii="Times New Roman" w:hAnsi="Times New Roman" w:eastAsia="等线" w:cs="Times New Roman"/>
                <w:color w:val="auto"/>
                <w:kern w:val="0"/>
                <w:sz w:val="24"/>
                <w:szCs w:val="21"/>
              </w:rPr>
            </w:pPr>
          </w:p>
        </w:tc>
        <w:tc>
          <w:tcPr>
            <w:tcW w:w="553"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1460" w:type="pct"/>
            <w:gridSpan w:val="2"/>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2.6.2 将创新创业教育贯穿于人才培养全过程、融入专业教育的举措与成效</w:t>
            </w:r>
          </w:p>
        </w:tc>
        <w:tc>
          <w:tcPr>
            <w:tcW w:w="41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教务处（牵头）、学生处、团委</w:t>
            </w:r>
          </w:p>
        </w:tc>
        <w:tc>
          <w:tcPr>
            <w:tcW w:w="133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86" w:type="pct"/>
            <w:vMerge w:val="continue"/>
            <w:vAlign w:val="center"/>
          </w:tcPr>
          <w:p>
            <w:pPr>
              <w:widowControl/>
              <w:spacing w:line="300" w:lineRule="exact"/>
              <w:ind w:left="0"/>
              <w:jc w:val="left"/>
              <w:textAlignment w:val="auto"/>
              <w:rPr>
                <w:rFonts w:hint="default" w:ascii="Times New Roman" w:hAnsi="Times New Roman" w:eastAsia="等线" w:cs="Times New Roman"/>
                <w:color w:val="auto"/>
                <w:kern w:val="0"/>
                <w:sz w:val="24"/>
                <w:szCs w:val="21"/>
              </w:rPr>
            </w:pPr>
          </w:p>
        </w:tc>
        <w:tc>
          <w:tcPr>
            <w:tcW w:w="553"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1460" w:type="pct"/>
            <w:gridSpan w:val="2"/>
            <w:vAlign w:val="center"/>
          </w:tcPr>
          <w:p>
            <w:pPr>
              <w:tabs>
                <w:tab w:val="left" w:pos="2257"/>
              </w:tabs>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2.6.3 学生参与创新创业教育积极性及创新创业教育成果</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【必选】本科生参加各级各类创新创业实践活动人数及比例</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【必选】“互联网+”大学生创新创业大赛获奖数</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【可选】省级以上学科竞赛获奖学生人次数占学生总数的比例</w:t>
            </w:r>
          </w:p>
        </w:tc>
        <w:tc>
          <w:tcPr>
            <w:tcW w:w="41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教务处（牵头）、科技处、学生处、团委</w:t>
            </w:r>
          </w:p>
        </w:tc>
        <w:tc>
          <w:tcPr>
            <w:tcW w:w="133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286" w:type="pct"/>
            <w:vMerge w:val="restart"/>
            <w:vAlign w:val="center"/>
          </w:tcPr>
          <w:p>
            <w:pPr>
              <w:spacing w:line="300" w:lineRule="exact"/>
              <w:ind w:left="0"/>
              <w:jc w:val="left"/>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3.教学资源与利用</w:t>
            </w:r>
          </w:p>
        </w:tc>
        <w:tc>
          <w:tcPr>
            <w:tcW w:w="553" w:type="pct"/>
            <w:vMerge w:val="restart"/>
            <w:vAlign w:val="center"/>
          </w:tcPr>
          <w:p>
            <w:pPr>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3.2资源建设</w:t>
            </w:r>
          </w:p>
        </w:tc>
        <w:tc>
          <w:tcPr>
            <w:tcW w:w="344" w:type="pct"/>
            <w:vAlign w:val="center"/>
          </w:tcPr>
          <w:p>
            <w:pPr>
              <w:tabs>
                <w:tab w:val="left" w:pos="2257"/>
              </w:tabs>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B 3.2.1</w:t>
            </w:r>
          </w:p>
        </w:tc>
        <w:tc>
          <w:tcPr>
            <w:tcW w:w="1116" w:type="pct"/>
            <w:vAlign w:val="center"/>
          </w:tcPr>
          <w:p>
            <w:pPr>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B2</w:t>
            </w:r>
            <w:r>
              <w:rPr>
                <w:rFonts w:hint="default" w:ascii="Times New Roman" w:hAnsi="Times New Roman" w:eastAsia="方正仿宋_GB2312" w:cs="Times New Roman"/>
                <w:color w:val="auto"/>
                <w:kern w:val="2"/>
                <w:sz w:val="24"/>
                <w:szCs w:val="32"/>
                <w:lang w:val="en-US" w:eastAsia="zh-CN"/>
              </w:rPr>
              <w:t xml:space="preserve"> </w:t>
            </w:r>
            <w:r>
              <w:rPr>
                <w:rFonts w:hint="default" w:ascii="Times New Roman" w:hAnsi="Times New Roman" w:eastAsia="方正仿宋_GB2312" w:cs="Times New Roman"/>
                <w:color w:val="auto"/>
                <w:kern w:val="2"/>
                <w:sz w:val="24"/>
                <w:szCs w:val="32"/>
              </w:rPr>
              <w:t>行业企业课程资源库、真实项目案例库建设及共享情况</w:t>
            </w:r>
          </w:p>
        </w:tc>
        <w:tc>
          <w:tcPr>
            <w:tcW w:w="417" w:type="pct"/>
            <w:vMerge w:val="restart"/>
            <w:vAlign w:val="center"/>
          </w:tcPr>
          <w:p>
            <w:pPr>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分管教学工作的副校长</w:t>
            </w:r>
          </w:p>
        </w:tc>
        <w:tc>
          <w:tcPr>
            <w:tcW w:w="369" w:type="pct"/>
            <w:vMerge w:val="restart"/>
            <w:vAlign w:val="center"/>
          </w:tcPr>
          <w:p>
            <w:pPr>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教务处</w:t>
            </w:r>
          </w:p>
        </w:tc>
        <w:tc>
          <w:tcPr>
            <w:tcW w:w="574" w:type="pct"/>
            <w:vAlign w:val="center"/>
          </w:tcPr>
          <w:p>
            <w:pPr>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教务处</w:t>
            </w:r>
          </w:p>
        </w:tc>
        <w:tc>
          <w:tcPr>
            <w:tcW w:w="1337" w:type="pct"/>
            <w:vMerge w:val="restart"/>
            <w:vAlign w:val="center"/>
          </w:tcPr>
          <w:p>
            <w:pPr>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①学校教学资源建设与利用方面制订的制度文件；</w:t>
            </w:r>
          </w:p>
          <w:p>
            <w:pPr>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②结合行业企业实际，健全资源共享机制，健全课程资源库，推动行业企业优质资源转化为教育教学内容情况；</w:t>
            </w:r>
          </w:p>
          <w:p>
            <w:pPr>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③教师结合企业实际、产业发展需要编写教材情况；</w:t>
            </w:r>
          </w:p>
          <w:p>
            <w:pPr>
              <w:spacing w:line="300" w:lineRule="exact"/>
              <w:ind w:left="0"/>
              <w:jc w:val="both"/>
              <w:textAlignment w:val="auto"/>
              <w:rPr>
                <w:rFonts w:hint="default" w:ascii="Times New Roman" w:hAnsi="Times New Roman" w:eastAsia="方正仿宋_GB2312" w:cs="Times New Roman"/>
                <w:color w:val="auto"/>
                <w:kern w:val="2"/>
                <w:sz w:val="24"/>
                <w:szCs w:val="32"/>
                <w:lang w:eastAsia="zh-CN"/>
              </w:rPr>
            </w:pPr>
            <w:r>
              <w:rPr>
                <w:rFonts w:hint="default" w:ascii="Times New Roman" w:hAnsi="Times New Roman" w:eastAsia="方正仿宋_GB2312" w:cs="Times New Roman"/>
                <w:color w:val="auto"/>
                <w:kern w:val="2"/>
                <w:sz w:val="24"/>
                <w:szCs w:val="32"/>
              </w:rPr>
              <w:t>④学校“互联网+”教学资源建设、高水平教材建设、智慧教室、智能实验室建设及效果</w:t>
            </w:r>
            <w:r>
              <w:rPr>
                <w:rFonts w:hint="default" w:ascii="Times New Roman" w:hAnsi="Times New Roman" w:eastAsia="方正仿宋_GB2312" w:cs="Times New Roman"/>
                <w:color w:val="auto"/>
                <w:kern w:val="2"/>
                <w:sz w:val="24"/>
                <w:szCs w:val="32"/>
                <w:lang w:eastAsia="zh-CN"/>
              </w:rPr>
              <w:t>；</w:t>
            </w:r>
          </w:p>
          <w:p>
            <w:pPr>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微软雅黑" w:cs="Times New Roman"/>
                <w:color w:val="auto"/>
                <w:kern w:val="2"/>
                <w:sz w:val="24"/>
                <w:szCs w:val="32"/>
              </w:rPr>
              <w:t>⑤</w:t>
            </w:r>
            <w:r>
              <w:rPr>
                <w:rFonts w:hint="default" w:ascii="Times New Roman" w:hAnsi="Times New Roman" w:eastAsia="方正仿宋_GB2312" w:cs="Times New Roman"/>
                <w:color w:val="auto"/>
                <w:kern w:val="2"/>
                <w:sz w:val="24"/>
                <w:szCs w:val="32"/>
              </w:rPr>
              <w:t>学校在校友捐赠方面的举措及成效；</w:t>
            </w:r>
          </w:p>
          <w:p>
            <w:pPr>
              <w:spacing w:line="300" w:lineRule="exact"/>
              <w:ind w:left="0"/>
              <w:jc w:val="both"/>
              <w:textAlignment w:val="auto"/>
              <w:rPr>
                <w:rFonts w:hint="default" w:ascii="Times New Roman" w:hAnsi="Times New Roman" w:eastAsia="方正仿宋_GB2312" w:cs="Times New Roman"/>
                <w:color w:val="auto"/>
                <w:kern w:val="2"/>
                <w:sz w:val="24"/>
                <w:szCs w:val="32"/>
                <w:lang w:eastAsia="zh-CN"/>
              </w:rPr>
            </w:pPr>
            <w:r>
              <w:rPr>
                <w:rFonts w:hint="default" w:ascii="Times New Roman" w:hAnsi="Times New Roman" w:eastAsia="微软雅黑" w:cs="Times New Roman"/>
                <w:color w:val="auto"/>
                <w:kern w:val="2"/>
                <w:sz w:val="24"/>
                <w:szCs w:val="32"/>
              </w:rPr>
              <w:t>⑥</w:t>
            </w:r>
            <w:r>
              <w:rPr>
                <w:rFonts w:hint="default" w:ascii="Times New Roman" w:hAnsi="Times New Roman" w:eastAsia="方正仿宋_GB2312" w:cs="Times New Roman"/>
                <w:color w:val="auto"/>
                <w:kern w:val="2"/>
                <w:sz w:val="24"/>
                <w:szCs w:val="32"/>
              </w:rPr>
              <w:t>校友捐赠统计分析</w:t>
            </w:r>
            <w:r>
              <w:rPr>
                <w:rFonts w:hint="default" w:ascii="Times New Roman" w:hAnsi="Times New Roman" w:eastAsia="方正仿宋_GB2312" w:cs="Times New Roman"/>
                <w:color w:val="auto"/>
                <w:kern w:val="2"/>
                <w:sz w:val="24"/>
                <w:szCs w:val="32"/>
                <w:lang w:eastAsia="zh-CN"/>
              </w:rPr>
              <w:t>；</w:t>
            </w:r>
          </w:p>
          <w:p>
            <w:pPr>
              <w:spacing w:line="300" w:lineRule="exact"/>
              <w:ind w:left="0"/>
              <w:jc w:val="both"/>
              <w:textAlignment w:val="auto"/>
              <w:rPr>
                <w:rFonts w:hint="default" w:ascii="Times New Roman" w:hAnsi="Times New Roman" w:eastAsia="方正仿宋_GB2312" w:cs="Times New Roman"/>
                <w:color w:val="auto"/>
                <w:kern w:val="2"/>
                <w:sz w:val="24"/>
                <w:szCs w:val="32"/>
                <w:lang w:eastAsia="zh-CN"/>
              </w:rPr>
            </w:pPr>
            <w:r>
              <w:rPr>
                <w:rFonts w:hint="default" w:ascii="Times New Roman" w:hAnsi="Times New Roman" w:eastAsia="微软雅黑" w:cs="Times New Roman"/>
                <w:color w:val="auto"/>
                <w:kern w:val="2"/>
                <w:sz w:val="24"/>
                <w:szCs w:val="32"/>
              </w:rPr>
              <w:t>⑦</w:t>
            </w:r>
            <w:r>
              <w:rPr>
                <w:rFonts w:hint="default" w:ascii="Times New Roman" w:hAnsi="Times New Roman" w:eastAsia="方正仿宋_GB2312" w:cs="Times New Roman"/>
                <w:color w:val="auto"/>
                <w:kern w:val="2"/>
                <w:sz w:val="24"/>
                <w:szCs w:val="32"/>
              </w:rPr>
              <w:t>产业技术发展成果转化为教学资源，产学研合作项目转化为实验项目或毕业论文选题情况</w:t>
            </w:r>
            <w:r>
              <w:rPr>
                <w:rFonts w:hint="default" w:ascii="Times New Roman" w:hAnsi="Times New Roman" w:eastAsia="方正仿宋_GB2312" w:cs="Times New Roman"/>
                <w:color w:val="auto"/>
                <w:kern w:val="2"/>
                <w:sz w:val="24"/>
                <w:szCs w:val="32"/>
                <w:lang w:eastAsia="zh-CN"/>
              </w:rPr>
              <w:t>；</w:t>
            </w:r>
          </w:p>
          <w:p>
            <w:pPr>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微软雅黑" w:cs="Times New Roman"/>
                <w:color w:val="auto"/>
                <w:kern w:val="2"/>
                <w:sz w:val="24"/>
                <w:szCs w:val="32"/>
                <w:lang w:eastAsia="zh-CN"/>
              </w:rPr>
              <w:t>⑧</w:t>
            </w:r>
            <w:r>
              <w:rPr>
                <w:rFonts w:hint="default" w:ascii="Times New Roman" w:hAnsi="Times New Roman" w:eastAsia="方正仿宋_GB2312" w:cs="Times New Roman"/>
                <w:color w:val="auto"/>
                <w:kern w:val="2"/>
                <w:sz w:val="24"/>
                <w:szCs w:val="32"/>
                <w:lang w:eastAsia="zh-CN"/>
              </w:rPr>
              <w:t>科研反哺教学的典型案例。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286" w:type="pct"/>
            <w:vMerge w:val="continue"/>
            <w:vAlign w:val="center"/>
          </w:tcPr>
          <w:p>
            <w:pPr>
              <w:widowControl/>
              <w:spacing w:line="300" w:lineRule="exact"/>
              <w:ind w:left="0"/>
              <w:jc w:val="left"/>
              <w:textAlignment w:val="auto"/>
              <w:rPr>
                <w:rFonts w:hint="default" w:ascii="Times New Roman" w:hAnsi="Times New Roman" w:eastAsia="等线" w:cs="Times New Roman"/>
                <w:color w:val="auto"/>
                <w:kern w:val="0"/>
                <w:sz w:val="24"/>
                <w:szCs w:val="21"/>
              </w:rPr>
            </w:pPr>
          </w:p>
        </w:tc>
        <w:tc>
          <w:tcPr>
            <w:tcW w:w="553"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4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B 3.2.2</w:t>
            </w:r>
          </w:p>
        </w:tc>
        <w:tc>
          <w:tcPr>
            <w:tcW w:w="1116" w:type="pct"/>
            <w:vAlign w:val="center"/>
          </w:tcPr>
          <w:p>
            <w:pPr>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B2</w:t>
            </w:r>
            <w:r>
              <w:rPr>
                <w:rFonts w:hint="default" w:ascii="Times New Roman" w:hAnsi="Times New Roman" w:eastAsia="方正仿宋_GB2312" w:cs="Times New Roman"/>
                <w:color w:val="auto"/>
                <w:kern w:val="2"/>
                <w:sz w:val="24"/>
                <w:szCs w:val="32"/>
                <w:lang w:val="en-US" w:eastAsia="zh-CN"/>
              </w:rPr>
              <w:t xml:space="preserve"> </w:t>
            </w:r>
            <w:r>
              <w:rPr>
                <w:rFonts w:hint="default" w:ascii="Times New Roman" w:hAnsi="Times New Roman" w:eastAsia="方正仿宋_GB2312" w:cs="Times New Roman"/>
                <w:color w:val="auto"/>
                <w:kern w:val="2"/>
                <w:sz w:val="24"/>
                <w:szCs w:val="32"/>
              </w:rPr>
              <w:t>面向行业企业实际、产业发展需要的应用型教材建设情况</w:t>
            </w:r>
          </w:p>
        </w:tc>
        <w:tc>
          <w:tcPr>
            <w:tcW w:w="417" w:type="pct"/>
            <w:vMerge w:val="continue"/>
            <w:vAlign w:val="center"/>
          </w:tcPr>
          <w:p>
            <w:pPr>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Align w:val="center"/>
          </w:tcPr>
          <w:p>
            <w:pPr>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教务处</w:t>
            </w:r>
          </w:p>
        </w:tc>
        <w:tc>
          <w:tcPr>
            <w:tcW w:w="1337" w:type="pct"/>
            <w:vMerge w:val="continue"/>
            <w:vAlign w:val="center"/>
          </w:tcPr>
          <w:p>
            <w:pPr>
              <w:spacing w:line="300" w:lineRule="exact"/>
              <w:ind w:left="0"/>
              <w:jc w:val="both"/>
              <w:textAlignment w:val="auto"/>
              <w:rPr>
                <w:rFonts w:hint="default" w:ascii="Times New Roman" w:hAnsi="Times New Roman" w:eastAsia="方正仿宋_GB2312" w:cs="Times New Roman"/>
                <w:color w:val="auto"/>
                <w:kern w:val="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286" w:type="pct"/>
            <w:vMerge w:val="continue"/>
            <w:vAlign w:val="center"/>
          </w:tcPr>
          <w:p>
            <w:pPr>
              <w:widowControl/>
              <w:spacing w:line="300" w:lineRule="exact"/>
              <w:ind w:left="0"/>
              <w:jc w:val="left"/>
              <w:textAlignment w:val="auto"/>
              <w:rPr>
                <w:rFonts w:hint="default" w:ascii="Times New Roman" w:hAnsi="Times New Roman" w:eastAsia="等线" w:cs="Times New Roman"/>
                <w:color w:val="auto"/>
                <w:kern w:val="0"/>
                <w:sz w:val="24"/>
                <w:szCs w:val="21"/>
              </w:rPr>
            </w:pPr>
          </w:p>
        </w:tc>
        <w:tc>
          <w:tcPr>
            <w:tcW w:w="553"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4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K 3.2.3</w:t>
            </w:r>
          </w:p>
        </w:tc>
        <w:tc>
          <w:tcPr>
            <w:tcW w:w="1116"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适应“互联网+”课程教学需要的智慧教室、智能实验室等教学设施和条件建设及使用效果</w:t>
            </w:r>
          </w:p>
        </w:tc>
        <w:tc>
          <w:tcPr>
            <w:tcW w:w="41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教务处（牵头）、国资处、现代技术中心、后保处、管委会</w:t>
            </w:r>
          </w:p>
        </w:tc>
        <w:tc>
          <w:tcPr>
            <w:tcW w:w="133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286" w:type="pct"/>
            <w:vMerge w:val="continue"/>
            <w:vAlign w:val="center"/>
          </w:tcPr>
          <w:p>
            <w:pPr>
              <w:widowControl/>
              <w:spacing w:line="300" w:lineRule="exact"/>
              <w:ind w:left="0"/>
              <w:jc w:val="left"/>
              <w:textAlignment w:val="auto"/>
              <w:rPr>
                <w:rFonts w:hint="default" w:ascii="Times New Roman" w:hAnsi="Times New Roman" w:eastAsia="等线" w:cs="Times New Roman"/>
                <w:color w:val="auto"/>
                <w:kern w:val="0"/>
                <w:sz w:val="24"/>
                <w:szCs w:val="21"/>
              </w:rPr>
            </w:pPr>
          </w:p>
        </w:tc>
        <w:tc>
          <w:tcPr>
            <w:tcW w:w="553"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4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K 3.2.4</w:t>
            </w:r>
          </w:p>
        </w:tc>
        <w:tc>
          <w:tcPr>
            <w:tcW w:w="1116"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近三年社会捐赠情况</w:t>
            </w:r>
          </w:p>
        </w:tc>
        <w:tc>
          <w:tcPr>
            <w:tcW w:w="41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社会合作处</w:t>
            </w:r>
          </w:p>
        </w:tc>
        <w:tc>
          <w:tcPr>
            <w:tcW w:w="133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jc w:val="center"/>
        </w:trPr>
        <w:tc>
          <w:tcPr>
            <w:tcW w:w="286" w:type="pct"/>
            <w:vMerge w:val="continue"/>
            <w:vAlign w:val="center"/>
          </w:tcPr>
          <w:p>
            <w:pPr>
              <w:widowControl/>
              <w:spacing w:line="300" w:lineRule="exact"/>
              <w:ind w:left="0"/>
              <w:jc w:val="left"/>
              <w:textAlignment w:val="auto"/>
              <w:rPr>
                <w:rFonts w:hint="default" w:ascii="Times New Roman" w:hAnsi="Times New Roman" w:eastAsia="等线" w:cs="Times New Roman"/>
                <w:color w:val="auto"/>
                <w:kern w:val="0"/>
                <w:sz w:val="24"/>
                <w:szCs w:val="21"/>
              </w:rPr>
            </w:pPr>
          </w:p>
        </w:tc>
        <w:tc>
          <w:tcPr>
            <w:tcW w:w="553"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44" w:type="pct"/>
            <w:vAlign w:val="center"/>
          </w:tcPr>
          <w:p>
            <w:pPr>
              <w:tabs>
                <w:tab w:val="left" w:pos="2257"/>
              </w:tabs>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K 3.2.5</w:t>
            </w:r>
          </w:p>
        </w:tc>
        <w:tc>
          <w:tcPr>
            <w:tcW w:w="1116" w:type="pct"/>
            <w:vAlign w:val="center"/>
          </w:tcPr>
          <w:p>
            <w:pPr>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K2</w:t>
            </w:r>
            <w:r>
              <w:rPr>
                <w:rFonts w:hint="default" w:ascii="Times New Roman" w:hAnsi="Times New Roman" w:eastAsia="方正仿宋_GB2312" w:cs="Times New Roman"/>
                <w:color w:val="auto"/>
                <w:kern w:val="2"/>
                <w:sz w:val="24"/>
                <w:szCs w:val="32"/>
                <w:lang w:val="en-US" w:eastAsia="zh-CN"/>
              </w:rPr>
              <w:t xml:space="preserve"> </w:t>
            </w:r>
            <w:r>
              <w:rPr>
                <w:rFonts w:hint="default" w:ascii="Times New Roman" w:hAnsi="Times New Roman" w:eastAsia="方正仿宋_GB2312" w:cs="Times New Roman"/>
                <w:color w:val="auto"/>
                <w:kern w:val="2"/>
                <w:sz w:val="24"/>
                <w:szCs w:val="32"/>
              </w:rPr>
              <w:t>产业技术发展成果、产学研合作项目转化为教学资源情况</w:t>
            </w:r>
          </w:p>
        </w:tc>
        <w:tc>
          <w:tcPr>
            <w:tcW w:w="417" w:type="pct"/>
            <w:vMerge w:val="continue"/>
            <w:vAlign w:val="center"/>
          </w:tcPr>
          <w:p>
            <w:pPr>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Align w:val="center"/>
          </w:tcPr>
          <w:p>
            <w:pPr>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教务处（牵头）、科技处、社会合作处</w:t>
            </w:r>
          </w:p>
        </w:tc>
        <w:tc>
          <w:tcPr>
            <w:tcW w:w="1337" w:type="pct"/>
            <w:vMerge w:val="continue"/>
            <w:vAlign w:val="center"/>
          </w:tcPr>
          <w:p>
            <w:pPr>
              <w:spacing w:line="300" w:lineRule="exact"/>
              <w:ind w:left="0"/>
              <w:jc w:val="both"/>
              <w:textAlignment w:val="auto"/>
              <w:rPr>
                <w:rFonts w:hint="default" w:ascii="Times New Roman" w:hAnsi="Times New Roman" w:eastAsia="方正仿宋_GB2312" w:cs="Times New Roman"/>
                <w:color w:val="auto"/>
                <w:kern w:val="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6" w:hRule="atLeast"/>
          <w:jc w:val="center"/>
        </w:trPr>
        <w:tc>
          <w:tcPr>
            <w:tcW w:w="286" w:type="pct"/>
            <w:vMerge w:val="restart"/>
            <w:vAlign w:val="center"/>
          </w:tcPr>
          <w:p>
            <w:pPr>
              <w:spacing w:line="300" w:lineRule="exact"/>
              <w:ind w:left="0"/>
              <w:jc w:val="left"/>
              <w:textAlignment w:val="auto"/>
              <w:rPr>
                <w:rFonts w:hint="default" w:ascii="Times New Roman" w:hAnsi="Times New Roman" w:eastAsia="等线" w:cs="Times New Roman"/>
                <w:color w:val="auto"/>
                <w:kern w:val="0"/>
                <w:sz w:val="24"/>
                <w:szCs w:val="21"/>
              </w:rPr>
            </w:pPr>
            <w:r>
              <w:rPr>
                <w:rFonts w:hint="default" w:ascii="Times New Roman" w:hAnsi="Times New Roman" w:eastAsia="方正仿宋_GB2312" w:cs="Times New Roman"/>
                <w:color w:val="auto"/>
                <w:kern w:val="2"/>
                <w:sz w:val="24"/>
                <w:szCs w:val="32"/>
              </w:rPr>
              <w:t>4.教师队伍</w:t>
            </w:r>
          </w:p>
        </w:tc>
        <w:tc>
          <w:tcPr>
            <w:tcW w:w="553" w:type="pct"/>
            <w:vMerge w:val="restar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4.1师德师风</w:t>
            </w:r>
          </w:p>
        </w:tc>
        <w:tc>
          <w:tcPr>
            <w:tcW w:w="1460" w:type="pct"/>
            <w:gridSpan w:val="2"/>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4.1.1 保障把教师思想政治建设放在首位、把师德师风作为评价教师的第一标准，强化师德教育、加强师德宣传、严格考核管理、加强制度建设，落实师德考核贯穿于教育教学全过程等方面的情况</w:t>
            </w:r>
          </w:p>
        </w:tc>
        <w:tc>
          <w:tcPr>
            <w:tcW w:w="417" w:type="pct"/>
            <w:vMerge w:val="restar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分管人事工作的副校长</w:t>
            </w:r>
          </w:p>
        </w:tc>
        <w:tc>
          <w:tcPr>
            <w:tcW w:w="369" w:type="pct"/>
            <w:vMerge w:val="restar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人事处</w:t>
            </w:r>
          </w:p>
        </w:tc>
        <w:tc>
          <w:tcPr>
            <w:tcW w:w="57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人事处</w:t>
            </w:r>
          </w:p>
        </w:tc>
        <w:tc>
          <w:tcPr>
            <w:tcW w:w="1337" w:type="pct"/>
            <w:vMerge w:val="restar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①学校师德师风建设制度文件；</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lang w:eastAsia="zh-CN"/>
              </w:rPr>
            </w:pPr>
            <w:r>
              <w:rPr>
                <w:rFonts w:hint="default" w:ascii="Times New Roman" w:hAnsi="Times New Roman" w:eastAsia="方正仿宋_GB2312" w:cs="Times New Roman"/>
                <w:color w:val="auto"/>
                <w:kern w:val="2"/>
                <w:sz w:val="24"/>
                <w:szCs w:val="32"/>
              </w:rPr>
              <w:t>②学校师德师风先进典型案例</w:t>
            </w:r>
            <w:r>
              <w:rPr>
                <w:rFonts w:hint="default" w:ascii="Times New Roman" w:hAnsi="Times New Roman" w:eastAsia="方正仿宋_GB2312" w:cs="Times New Roman"/>
                <w:color w:val="auto"/>
                <w:kern w:val="2"/>
                <w:sz w:val="24"/>
                <w:szCs w:val="32"/>
                <w:lang w:eastAsia="zh-CN"/>
              </w:rPr>
              <w:t>；</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③学校加强师德师风建设宣传材料</w:t>
            </w:r>
            <w:r>
              <w:rPr>
                <w:rFonts w:hint="default" w:ascii="Times New Roman" w:hAnsi="Times New Roman" w:eastAsia="方正仿宋_GB2312" w:cs="Times New Roman"/>
                <w:color w:val="auto"/>
                <w:kern w:val="2"/>
                <w:sz w:val="24"/>
                <w:szCs w:val="32"/>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286" w:type="pct"/>
            <w:vMerge w:val="continue"/>
            <w:vAlign w:val="center"/>
          </w:tcPr>
          <w:p>
            <w:pPr>
              <w:spacing w:line="300" w:lineRule="exact"/>
              <w:ind w:left="0"/>
              <w:jc w:val="left"/>
              <w:textAlignment w:val="auto"/>
              <w:rPr>
                <w:rFonts w:hint="default" w:ascii="Times New Roman" w:hAnsi="Times New Roman" w:eastAsia="等线" w:cs="Times New Roman"/>
                <w:color w:val="auto"/>
                <w:kern w:val="0"/>
                <w:sz w:val="24"/>
                <w:szCs w:val="21"/>
              </w:rPr>
            </w:pPr>
          </w:p>
        </w:tc>
        <w:tc>
          <w:tcPr>
            <w:tcW w:w="553"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1460" w:type="pct"/>
            <w:gridSpan w:val="2"/>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4.1.2 教师在争做“四有”好老师、四个“引路人”，自觉遵守《新时代高校教师职业行为十项准则》等方面的情况</w:t>
            </w:r>
          </w:p>
        </w:tc>
        <w:tc>
          <w:tcPr>
            <w:tcW w:w="41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人事处</w:t>
            </w:r>
          </w:p>
        </w:tc>
        <w:tc>
          <w:tcPr>
            <w:tcW w:w="133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jc w:val="center"/>
        </w:trPr>
        <w:tc>
          <w:tcPr>
            <w:tcW w:w="286" w:type="pct"/>
            <w:vMerge w:val="continue"/>
            <w:vAlign w:val="center"/>
          </w:tcPr>
          <w:p>
            <w:pPr>
              <w:spacing w:line="300" w:lineRule="exact"/>
              <w:ind w:left="0"/>
              <w:jc w:val="left"/>
              <w:textAlignment w:val="auto"/>
              <w:rPr>
                <w:rFonts w:hint="default" w:ascii="Times New Roman" w:hAnsi="Times New Roman" w:eastAsia="等线" w:cs="Times New Roman"/>
                <w:color w:val="auto"/>
                <w:kern w:val="0"/>
                <w:sz w:val="24"/>
                <w:szCs w:val="21"/>
              </w:rPr>
            </w:pPr>
          </w:p>
        </w:tc>
        <w:tc>
          <w:tcPr>
            <w:tcW w:w="553" w:type="pct"/>
            <w:vMerge w:val="restar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4.2教学能力</w:t>
            </w:r>
          </w:p>
        </w:tc>
        <w:tc>
          <w:tcPr>
            <w:tcW w:w="34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B 4.2.1</w:t>
            </w:r>
          </w:p>
        </w:tc>
        <w:tc>
          <w:tcPr>
            <w:tcW w:w="1116" w:type="pct"/>
            <w:vAlign w:val="center"/>
          </w:tcPr>
          <w:p>
            <w:pPr>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B2 专任教师的专业水平、教学能力、产学研用能力</w:t>
            </w:r>
          </w:p>
        </w:tc>
        <w:tc>
          <w:tcPr>
            <w:tcW w:w="417" w:type="pct"/>
            <w:vMerge w:val="continue"/>
            <w:vAlign w:val="center"/>
          </w:tcPr>
          <w:p>
            <w:pPr>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Align w:val="center"/>
          </w:tcPr>
          <w:p>
            <w:pPr>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人事处（牵头）、教务处、科技处</w:t>
            </w:r>
          </w:p>
        </w:tc>
        <w:tc>
          <w:tcPr>
            <w:tcW w:w="1337" w:type="pct"/>
            <w:vMerge w:val="restart"/>
            <w:vAlign w:val="center"/>
          </w:tcPr>
          <w:p>
            <w:pPr>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①阐述专任教师的专业水平、教学能力、产学研用能力能否胜任教学工作及满足学生实践动手能力培养需要的情况；</w:t>
            </w:r>
          </w:p>
          <w:p>
            <w:pPr>
              <w:spacing w:line="300" w:lineRule="exact"/>
              <w:ind w:left="0"/>
              <w:jc w:val="both"/>
              <w:textAlignment w:val="auto"/>
              <w:rPr>
                <w:rFonts w:hint="default" w:ascii="Times New Roman" w:hAnsi="Times New Roman" w:eastAsia="方正仿宋_GB2312" w:cs="Times New Roman"/>
                <w:color w:val="auto"/>
                <w:kern w:val="2"/>
                <w:sz w:val="24"/>
                <w:szCs w:val="32"/>
                <w:lang w:eastAsia="zh-CN"/>
              </w:rPr>
            </w:pPr>
            <w:r>
              <w:rPr>
                <w:rFonts w:hint="default" w:ascii="Times New Roman" w:hAnsi="Times New Roman" w:eastAsia="方正仿宋_GB2312" w:cs="Times New Roman"/>
                <w:color w:val="auto"/>
                <w:kern w:val="2"/>
                <w:sz w:val="24"/>
                <w:szCs w:val="32"/>
              </w:rPr>
              <w:t>②学校制订的提升教师教学能力方面的制度文件</w:t>
            </w:r>
            <w:r>
              <w:rPr>
                <w:rFonts w:hint="default" w:ascii="Times New Roman" w:hAnsi="Times New Roman" w:eastAsia="方正仿宋_GB2312" w:cs="Times New Roman"/>
                <w:color w:val="auto"/>
                <w:kern w:val="2"/>
                <w:sz w:val="24"/>
                <w:szCs w:val="32"/>
                <w:lang w:eastAsia="zh-CN"/>
              </w:rPr>
              <w:t>；</w:t>
            </w:r>
          </w:p>
          <w:p>
            <w:pPr>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③学校开展各类教师教育教学培训、教学竞赛活动相关材料。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286" w:type="pct"/>
            <w:vMerge w:val="continue"/>
            <w:vAlign w:val="center"/>
          </w:tcPr>
          <w:p>
            <w:pPr>
              <w:spacing w:line="300" w:lineRule="exact"/>
              <w:ind w:left="0"/>
              <w:jc w:val="left"/>
              <w:textAlignment w:val="auto"/>
              <w:rPr>
                <w:rFonts w:hint="default" w:ascii="Times New Roman" w:hAnsi="Times New Roman" w:eastAsia="等线" w:cs="Times New Roman"/>
                <w:color w:val="auto"/>
                <w:kern w:val="0"/>
                <w:sz w:val="24"/>
                <w:szCs w:val="21"/>
              </w:rPr>
            </w:pPr>
          </w:p>
        </w:tc>
        <w:tc>
          <w:tcPr>
            <w:tcW w:w="553"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1460" w:type="pct"/>
            <w:gridSpan w:val="2"/>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4.2.2 提升教师教书育人能力和水平的措施</w:t>
            </w:r>
          </w:p>
        </w:tc>
        <w:tc>
          <w:tcPr>
            <w:tcW w:w="41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人事处（牵头）、教务处</w:t>
            </w:r>
          </w:p>
        </w:tc>
        <w:tc>
          <w:tcPr>
            <w:tcW w:w="133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286" w:type="pct"/>
            <w:vMerge w:val="continue"/>
            <w:vAlign w:val="center"/>
          </w:tcPr>
          <w:p>
            <w:pPr>
              <w:widowControl/>
              <w:spacing w:line="300" w:lineRule="exact"/>
              <w:ind w:left="0"/>
              <w:jc w:val="left"/>
              <w:textAlignment w:val="auto"/>
              <w:rPr>
                <w:rFonts w:hint="default" w:ascii="Times New Roman" w:hAnsi="Times New Roman" w:eastAsia="等线" w:cs="Times New Roman"/>
                <w:color w:val="auto"/>
                <w:kern w:val="0"/>
                <w:sz w:val="24"/>
                <w:szCs w:val="21"/>
              </w:rPr>
            </w:pPr>
          </w:p>
        </w:tc>
        <w:tc>
          <w:tcPr>
            <w:tcW w:w="553" w:type="pct"/>
            <w:vMerge w:val="restar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4.3教学投入</w:t>
            </w:r>
          </w:p>
        </w:tc>
        <w:tc>
          <w:tcPr>
            <w:tcW w:w="1460" w:type="pct"/>
            <w:gridSpan w:val="2"/>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4.3.1 教师投入教学、教授全员为本科生授课的激励与约束机制建立情况及实施效果</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【必选】主讲本科课程教授占教授总数的比例</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【必选】教授主讲本科课程人均学时数</w:t>
            </w:r>
          </w:p>
        </w:tc>
        <w:tc>
          <w:tcPr>
            <w:tcW w:w="41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人事处（牵头）、教务处</w:t>
            </w:r>
          </w:p>
        </w:tc>
        <w:tc>
          <w:tcPr>
            <w:tcW w:w="1337" w:type="pct"/>
            <w:vMerge w:val="restar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lang w:eastAsia="zh-CN"/>
              </w:rPr>
            </w:pPr>
            <w:r>
              <w:rPr>
                <w:rFonts w:hint="default" w:ascii="Times New Roman" w:hAnsi="Times New Roman" w:eastAsia="方正仿宋_GB2312" w:cs="Times New Roman"/>
                <w:color w:val="auto"/>
                <w:kern w:val="2"/>
                <w:sz w:val="24"/>
                <w:szCs w:val="32"/>
              </w:rPr>
              <w:t>①学校出台的鼓励教师投入教学的制度文件</w:t>
            </w:r>
            <w:r>
              <w:rPr>
                <w:rFonts w:hint="default" w:ascii="Times New Roman" w:hAnsi="Times New Roman" w:eastAsia="方正仿宋_GB2312" w:cs="Times New Roman"/>
                <w:color w:val="auto"/>
                <w:kern w:val="2"/>
                <w:sz w:val="24"/>
                <w:szCs w:val="32"/>
                <w:lang w:eastAsia="zh-CN"/>
              </w:rPr>
              <w:t>；</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②学校教师近三年开展教学研究、教学改革方面的统计材料；</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微软雅黑" w:cs="Times New Roman"/>
                <w:color w:val="auto"/>
                <w:kern w:val="2"/>
                <w:sz w:val="24"/>
                <w:szCs w:val="32"/>
              </w:rPr>
              <w:t>③</w:t>
            </w:r>
            <w:r>
              <w:rPr>
                <w:rFonts w:hint="default" w:ascii="Times New Roman" w:hAnsi="Times New Roman" w:eastAsia="方正仿宋_GB2312" w:cs="Times New Roman"/>
                <w:color w:val="auto"/>
                <w:kern w:val="2"/>
                <w:sz w:val="24"/>
                <w:szCs w:val="32"/>
              </w:rPr>
              <w:t>学校教师，特别是教授、副教授开展教学研究、参与教学改革、专业建设、课程建设和教材建设等情况；</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微软雅黑" w:cs="Times New Roman"/>
                <w:color w:val="auto"/>
                <w:kern w:val="2"/>
                <w:sz w:val="24"/>
                <w:szCs w:val="32"/>
              </w:rPr>
              <w:t>④</w:t>
            </w:r>
            <w:r>
              <w:rPr>
                <w:rFonts w:hint="default" w:ascii="Times New Roman" w:hAnsi="Times New Roman" w:eastAsia="方正仿宋_GB2312" w:cs="Times New Roman"/>
                <w:color w:val="auto"/>
                <w:kern w:val="2"/>
                <w:sz w:val="24"/>
                <w:szCs w:val="32"/>
              </w:rPr>
              <w:t>主讲本科课程教授占教授总数的比例统计表；</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微软雅黑" w:cs="Times New Roman"/>
                <w:color w:val="auto"/>
                <w:kern w:val="2"/>
                <w:sz w:val="24"/>
                <w:szCs w:val="32"/>
              </w:rPr>
              <w:t>⑤</w:t>
            </w:r>
            <w:r>
              <w:rPr>
                <w:rFonts w:hint="default" w:ascii="Times New Roman" w:hAnsi="Times New Roman" w:eastAsia="方正仿宋_GB2312" w:cs="Times New Roman"/>
                <w:color w:val="auto"/>
                <w:kern w:val="2"/>
                <w:sz w:val="24"/>
                <w:szCs w:val="32"/>
              </w:rPr>
              <w:t>教授主讲本科课程人均学时数统计表；</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lang w:eastAsia="zh-CN"/>
              </w:rPr>
            </w:pPr>
            <w:r>
              <w:rPr>
                <w:rFonts w:hint="default" w:ascii="Times New Roman" w:hAnsi="Times New Roman" w:eastAsia="微软雅黑" w:cs="Times New Roman"/>
                <w:color w:val="auto"/>
                <w:kern w:val="2"/>
                <w:sz w:val="24"/>
                <w:szCs w:val="32"/>
              </w:rPr>
              <w:t>⑥</w:t>
            </w:r>
            <w:r>
              <w:rPr>
                <w:rFonts w:hint="default" w:ascii="Times New Roman" w:hAnsi="Times New Roman" w:eastAsia="方正仿宋_GB2312" w:cs="Times New Roman"/>
                <w:color w:val="auto"/>
                <w:kern w:val="2"/>
                <w:sz w:val="24"/>
                <w:szCs w:val="32"/>
              </w:rPr>
              <w:t>教授、副教授担任专业负责人的专业占专业总数的比例统计表</w:t>
            </w:r>
            <w:r>
              <w:rPr>
                <w:rFonts w:hint="default" w:ascii="Times New Roman" w:hAnsi="Times New Roman" w:eastAsia="方正仿宋_GB2312" w:cs="Times New Roman"/>
                <w:color w:val="auto"/>
                <w:kern w:val="2"/>
                <w:sz w:val="24"/>
                <w:szCs w:val="32"/>
                <w:lang w:eastAsia="zh-CN"/>
              </w:rPr>
              <w:t>；</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lang w:val="en-US" w:eastAsia="zh-CN"/>
              </w:rPr>
            </w:pPr>
            <w:r>
              <w:rPr>
                <w:rFonts w:hint="default" w:ascii="Times New Roman" w:hAnsi="Times New Roman" w:eastAsia="微软雅黑" w:cs="Times New Roman"/>
                <w:color w:val="auto"/>
                <w:kern w:val="2"/>
                <w:sz w:val="24"/>
                <w:szCs w:val="32"/>
                <w:lang w:val="en-US" w:eastAsia="zh-CN"/>
              </w:rPr>
              <w:t>⑦</w:t>
            </w:r>
            <w:r>
              <w:rPr>
                <w:rFonts w:hint="default" w:ascii="Times New Roman" w:hAnsi="Times New Roman" w:eastAsia="方正仿宋_GB2312" w:cs="Times New Roman"/>
                <w:color w:val="auto"/>
                <w:kern w:val="2"/>
                <w:sz w:val="24"/>
                <w:szCs w:val="32"/>
                <w:lang w:val="en-US" w:eastAsia="zh-CN"/>
              </w:rPr>
              <w:t>教师科研经费中用于开展本科生学科竞赛和科创项目的金额占学校科研经费总额的比例。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5" w:hRule="atLeast"/>
          <w:jc w:val="center"/>
        </w:trPr>
        <w:tc>
          <w:tcPr>
            <w:tcW w:w="286" w:type="pct"/>
            <w:vMerge w:val="continue"/>
            <w:vAlign w:val="center"/>
          </w:tcPr>
          <w:p>
            <w:pPr>
              <w:widowControl/>
              <w:spacing w:line="300" w:lineRule="exact"/>
              <w:ind w:left="0"/>
              <w:jc w:val="left"/>
              <w:textAlignment w:val="auto"/>
              <w:rPr>
                <w:rFonts w:hint="default" w:ascii="Times New Roman" w:hAnsi="Times New Roman" w:eastAsia="等线" w:cs="Times New Roman"/>
                <w:color w:val="auto"/>
                <w:kern w:val="0"/>
                <w:sz w:val="24"/>
                <w:szCs w:val="21"/>
              </w:rPr>
            </w:pPr>
          </w:p>
        </w:tc>
        <w:tc>
          <w:tcPr>
            <w:tcW w:w="553"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1460" w:type="pct"/>
            <w:gridSpan w:val="2"/>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4.3.2 教师特别是教授和副教授开展教学研究、参与教学改革与建设情况及成效</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【必选】教授、副教授担任专业负责人的专业占专业总数的比例</w:t>
            </w:r>
          </w:p>
        </w:tc>
        <w:tc>
          <w:tcPr>
            <w:tcW w:w="41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教务处</w:t>
            </w:r>
          </w:p>
        </w:tc>
        <w:tc>
          <w:tcPr>
            <w:tcW w:w="133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vMerge w:val="continue"/>
            <w:vAlign w:val="center"/>
          </w:tcPr>
          <w:p>
            <w:pPr>
              <w:widowControl/>
              <w:spacing w:line="300" w:lineRule="exact"/>
              <w:ind w:left="0"/>
              <w:jc w:val="left"/>
              <w:textAlignment w:val="auto"/>
              <w:rPr>
                <w:rFonts w:hint="default" w:ascii="Times New Roman" w:hAnsi="Times New Roman" w:eastAsia="等线" w:cs="Times New Roman"/>
                <w:color w:val="auto"/>
                <w:kern w:val="0"/>
                <w:sz w:val="24"/>
                <w:szCs w:val="21"/>
              </w:rPr>
            </w:pPr>
          </w:p>
        </w:tc>
        <w:tc>
          <w:tcPr>
            <w:tcW w:w="553" w:type="pct"/>
            <w:vMerge w:val="restar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4.4教师发展</w:t>
            </w:r>
          </w:p>
        </w:tc>
        <w:tc>
          <w:tcPr>
            <w:tcW w:w="1460" w:type="pct"/>
            <w:gridSpan w:val="2"/>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4.4.1 重视教师培训与职业发展，把习近平总书记关于教育的重要论述作为核心培训课程，把《习近平总书记教育重要论述讲义》作为核心培训教材，加强思政与党务工作队伍建设的举措与成效</w:t>
            </w:r>
          </w:p>
        </w:tc>
        <w:tc>
          <w:tcPr>
            <w:tcW w:w="41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教务处（牵头）、组织部、宣传部、人事处</w:t>
            </w:r>
          </w:p>
        </w:tc>
        <w:tc>
          <w:tcPr>
            <w:tcW w:w="1337" w:type="pct"/>
            <w:vMerge w:val="restar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①学校制订出台的加强师资队伍建设制度文件；</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②学校教师队伍建设及发展规划；</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③学校制定的教师培训工作计划及执行情况报告；</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④学校加强教师教学发展中心、基层教学组织和青年教师队伍建设的情况；</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⑤设有基层教学组织的专业占专业总数的比例统计表；</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lang w:eastAsia="zh-CN"/>
              </w:rPr>
            </w:pPr>
            <w:r>
              <w:rPr>
                <w:rFonts w:hint="default" w:ascii="Times New Roman" w:hAnsi="Times New Roman" w:eastAsia="微软雅黑" w:cs="Times New Roman"/>
                <w:color w:val="auto"/>
                <w:kern w:val="2"/>
                <w:sz w:val="24"/>
                <w:szCs w:val="32"/>
              </w:rPr>
              <w:t>⑥</w:t>
            </w:r>
            <w:r>
              <w:rPr>
                <w:rFonts w:hint="default" w:ascii="Times New Roman" w:hAnsi="Times New Roman" w:eastAsia="方正仿宋_GB2312" w:cs="Times New Roman"/>
                <w:color w:val="auto"/>
                <w:kern w:val="2"/>
                <w:sz w:val="24"/>
                <w:szCs w:val="32"/>
              </w:rPr>
              <w:t>教师发展中心培训本校教师的比例统计表</w:t>
            </w:r>
            <w:r>
              <w:rPr>
                <w:rFonts w:hint="default" w:ascii="Times New Roman" w:hAnsi="Times New Roman" w:eastAsia="方正仿宋_GB2312" w:cs="Times New Roman"/>
                <w:color w:val="auto"/>
                <w:kern w:val="2"/>
                <w:sz w:val="24"/>
                <w:szCs w:val="32"/>
                <w:lang w:eastAsia="zh-CN"/>
              </w:rPr>
              <w:t>；</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lang w:val="en-US" w:eastAsia="zh-CN"/>
              </w:rPr>
            </w:pPr>
            <w:r>
              <w:rPr>
                <w:rFonts w:hint="default" w:ascii="Times New Roman" w:hAnsi="Times New Roman" w:eastAsia="微软雅黑" w:cs="Times New Roman"/>
                <w:color w:val="auto"/>
                <w:kern w:val="2"/>
                <w:sz w:val="24"/>
                <w:szCs w:val="32"/>
              </w:rPr>
              <w:t>⑦</w:t>
            </w:r>
            <w:r>
              <w:rPr>
                <w:rFonts w:hint="default" w:ascii="Times New Roman" w:hAnsi="Times New Roman" w:eastAsia="方正仿宋_GB2312" w:cs="Times New Roman"/>
                <w:color w:val="auto"/>
                <w:kern w:val="2"/>
                <w:sz w:val="24"/>
                <w:szCs w:val="32"/>
                <w:lang w:eastAsia="zh-CN"/>
              </w:rPr>
              <w:t>教师到业界实践、挂职和承担横向课题的政策</w:t>
            </w:r>
            <w:r>
              <w:rPr>
                <w:rFonts w:hint="default" w:ascii="Times New Roman" w:hAnsi="Times New Roman" w:eastAsia="方正仿宋_GB2312" w:cs="Times New Roman"/>
                <w:color w:val="auto"/>
                <w:kern w:val="2"/>
                <w:sz w:val="24"/>
                <w:szCs w:val="32"/>
                <w:lang w:val="en-US" w:eastAsia="zh-CN"/>
              </w:rPr>
              <w:t>文件汇总；</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微软雅黑" w:cs="Times New Roman"/>
                <w:color w:val="auto"/>
                <w:kern w:val="2"/>
                <w:sz w:val="24"/>
                <w:szCs w:val="32"/>
              </w:rPr>
              <w:t>⑧</w:t>
            </w:r>
            <w:r>
              <w:rPr>
                <w:rFonts w:hint="default" w:ascii="Times New Roman" w:hAnsi="Times New Roman" w:eastAsia="方正仿宋_GB2312" w:cs="Times New Roman"/>
                <w:color w:val="auto"/>
                <w:kern w:val="2"/>
                <w:sz w:val="24"/>
                <w:szCs w:val="32"/>
              </w:rPr>
              <w:t>双师双能型教师队伍和实践教学教师队伍管理与建设情况报告；</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lang w:eastAsia="zh-CN"/>
              </w:rPr>
            </w:pPr>
            <w:r>
              <w:rPr>
                <w:rFonts w:hint="default" w:ascii="Times New Roman" w:hAnsi="Times New Roman" w:eastAsia="微软雅黑" w:cs="Times New Roman"/>
                <w:color w:val="auto"/>
                <w:kern w:val="2"/>
                <w:sz w:val="24"/>
                <w:szCs w:val="32"/>
              </w:rPr>
              <w:t>⑨</w:t>
            </w:r>
            <w:r>
              <w:rPr>
                <w:rFonts w:hint="default" w:ascii="Times New Roman" w:hAnsi="Times New Roman" w:eastAsia="方正仿宋_GB2312" w:cs="Times New Roman"/>
                <w:color w:val="auto"/>
                <w:kern w:val="2"/>
                <w:sz w:val="24"/>
                <w:szCs w:val="32"/>
              </w:rPr>
              <w:t>专任教师中双师双能型教师的比例统计表</w:t>
            </w:r>
            <w:r>
              <w:rPr>
                <w:rFonts w:hint="default" w:ascii="Times New Roman" w:hAnsi="Times New Roman" w:eastAsia="方正仿宋_GB2312" w:cs="Times New Roman"/>
                <w:color w:val="auto"/>
                <w:kern w:val="2"/>
                <w:sz w:val="24"/>
                <w:szCs w:val="32"/>
                <w:lang w:eastAsia="zh-CN"/>
              </w:rPr>
              <w:t>；</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微软雅黑" w:cs="Times New Roman"/>
                <w:color w:val="auto"/>
                <w:kern w:val="2"/>
                <w:sz w:val="24"/>
                <w:szCs w:val="32"/>
              </w:rPr>
              <w:t>⑩</w:t>
            </w:r>
            <w:r>
              <w:rPr>
                <w:rFonts w:hint="default" w:ascii="Times New Roman" w:hAnsi="Times New Roman" w:eastAsia="方正仿宋_GB2312" w:cs="Times New Roman"/>
                <w:color w:val="auto"/>
                <w:kern w:val="2"/>
                <w:sz w:val="24"/>
                <w:szCs w:val="32"/>
              </w:rPr>
              <w:t>学校近三年教师赴国（境）外交流、访学、参加国际会议、合作研究情况等材料</w:t>
            </w:r>
            <w:r>
              <w:rPr>
                <w:rFonts w:hint="default" w:ascii="Times New Roman" w:hAnsi="Times New Roman" w:eastAsia="方正仿宋_GB2312" w:cs="Times New Roman"/>
                <w:color w:val="auto"/>
                <w:kern w:val="2"/>
                <w:sz w:val="24"/>
                <w:szCs w:val="32"/>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vMerge w:val="continue"/>
            <w:vAlign w:val="center"/>
          </w:tcPr>
          <w:p>
            <w:pPr>
              <w:widowControl/>
              <w:spacing w:line="300" w:lineRule="exact"/>
              <w:ind w:left="0"/>
              <w:jc w:val="left"/>
              <w:textAlignment w:val="auto"/>
              <w:rPr>
                <w:rFonts w:hint="default" w:ascii="Times New Roman" w:hAnsi="Times New Roman" w:eastAsia="等线" w:cs="Times New Roman"/>
                <w:color w:val="auto"/>
                <w:kern w:val="0"/>
                <w:sz w:val="24"/>
                <w:szCs w:val="21"/>
              </w:rPr>
            </w:pPr>
          </w:p>
        </w:tc>
        <w:tc>
          <w:tcPr>
            <w:tcW w:w="553"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1460" w:type="pct"/>
            <w:gridSpan w:val="2"/>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4.4.2 加强教师教学发展中心、基层教学组织和青年教师队伍建设举措与成效</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【必选】设有基层教学组织的专业占专业总数的比例</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【可选】教师发展中心培训本校教师的比例</w:t>
            </w:r>
          </w:p>
        </w:tc>
        <w:tc>
          <w:tcPr>
            <w:tcW w:w="41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教务处（牵头）、人事处</w:t>
            </w:r>
          </w:p>
        </w:tc>
        <w:tc>
          <w:tcPr>
            <w:tcW w:w="133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jc w:val="center"/>
        </w:trPr>
        <w:tc>
          <w:tcPr>
            <w:tcW w:w="286" w:type="pct"/>
            <w:vMerge w:val="continue"/>
            <w:vAlign w:val="center"/>
          </w:tcPr>
          <w:p>
            <w:pPr>
              <w:widowControl/>
              <w:spacing w:line="300" w:lineRule="exact"/>
              <w:ind w:left="0"/>
              <w:jc w:val="left"/>
              <w:textAlignment w:val="auto"/>
              <w:rPr>
                <w:rFonts w:hint="default" w:ascii="Times New Roman" w:hAnsi="Times New Roman" w:eastAsia="等线" w:cs="Times New Roman"/>
                <w:color w:val="auto"/>
                <w:kern w:val="0"/>
                <w:sz w:val="24"/>
                <w:szCs w:val="21"/>
              </w:rPr>
            </w:pPr>
          </w:p>
        </w:tc>
        <w:tc>
          <w:tcPr>
            <w:tcW w:w="553"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4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B 4.4.3</w:t>
            </w:r>
          </w:p>
        </w:tc>
        <w:tc>
          <w:tcPr>
            <w:tcW w:w="1116" w:type="pct"/>
            <w:vAlign w:val="center"/>
          </w:tcPr>
          <w:p>
            <w:pPr>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B2 提升教师教学能力、产学研用能力、信息技术应用能力，鼓励教师到业界实践、挂职和承担横向课题的政策措施</w:t>
            </w:r>
          </w:p>
        </w:tc>
        <w:tc>
          <w:tcPr>
            <w:tcW w:w="417" w:type="pct"/>
            <w:vMerge w:val="continue"/>
            <w:vAlign w:val="center"/>
          </w:tcPr>
          <w:p>
            <w:pPr>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Align w:val="center"/>
          </w:tcPr>
          <w:p>
            <w:pPr>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人事处（牵头）、教务处、科技处、社会合作处、现代技术中心</w:t>
            </w:r>
          </w:p>
        </w:tc>
        <w:tc>
          <w:tcPr>
            <w:tcW w:w="1337" w:type="pct"/>
            <w:vMerge w:val="continue"/>
            <w:vAlign w:val="center"/>
          </w:tcPr>
          <w:p>
            <w:pPr>
              <w:spacing w:line="300" w:lineRule="exact"/>
              <w:ind w:left="0"/>
              <w:jc w:val="both"/>
              <w:textAlignment w:val="auto"/>
              <w:rPr>
                <w:rFonts w:hint="default" w:ascii="Times New Roman" w:hAnsi="Times New Roman" w:eastAsia="方正仿宋_GB2312" w:cs="Times New Roman"/>
                <w:color w:val="auto"/>
                <w:kern w:val="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8" w:hRule="atLeast"/>
          <w:jc w:val="center"/>
        </w:trPr>
        <w:tc>
          <w:tcPr>
            <w:tcW w:w="286" w:type="pct"/>
            <w:vMerge w:val="continue"/>
            <w:vAlign w:val="center"/>
          </w:tcPr>
          <w:p>
            <w:pPr>
              <w:widowControl/>
              <w:spacing w:line="300" w:lineRule="exact"/>
              <w:ind w:left="0"/>
              <w:jc w:val="left"/>
              <w:textAlignment w:val="auto"/>
              <w:rPr>
                <w:rFonts w:hint="default" w:ascii="Times New Roman" w:hAnsi="Times New Roman" w:eastAsia="等线" w:cs="Times New Roman"/>
                <w:color w:val="auto"/>
                <w:kern w:val="0"/>
                <w:sz w:val="24"/>
                <w:szCs w:val="21"/>
              </w:rPr>
            </w:pPr>
          </w:p>
        </w:tc>
        <w:tc>
          <w:tcPr>
            <w:tcW w:w="553"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4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B 4.4.4</w:t>
            </w:r>
          </w:p>
        </w:tc>
        <w:tc>
          <w:tcPr>
            <w:tcW w:w="1116" w:type="pct"/>
            <w:vAlign w:val="center"/>
          </w:tcPr>
          <w:p>
            <w:pPr>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B2 双师双能型教师队伍和实践教学教师队伍管理与建设情况</w:t>
            </w:r>
          </w:p>
          <w:p>
            <w:pPr>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【可选】专任教师中双师双能型教师的比例</w:t>
            </w:r>
          </w:p>
        </w:tc>
        <w:tc>
          <w:tcPr>
            <w:tcW w:w="417" w:type="pct"/>
            <w:vMerge w:val="continue"/>
            <w:vAlign w:val="center"/>
          </w:tcPr>
          <w:p>
            <w:pPr>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Align w:val="center"/>
          </w:tcPr>
          <w:p>
            <w:pPr>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人事处（牵头）、教务处</w:t>
            </w:r>
          </w:p>
        </w:tc>
        <w:tc>
          <w:tcPr>
            <w:tcW w:w="1337" w:type="pct"/>
            <w:vMerge w:val="continue"/>
            <w:vAlign w:val="center"/>
          </w:tcPr>
          <w:p>
            <w:pPr>
              <w:spacing w:line="300" w:lineRule="exact"/>
              <w:ind w:left="0"/>
              <w:jc w:val="both"/>
              <w:textAlignment w:val="auto"/>
              <w:rPr>
                <w:rFonts w:hint="default" w:ascii="Times New Roman" w:hAnsi="Times New Roman" w:eastAsia="方正仿宋_GB2312" w:cs="Times New Roman"/>
                <w:color w:val="auto"/>
                <w:kern w:val="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286" w:type="pct"/>
            <w:vMerge w:val="continue"/>
            <w:vAlign w:val="center"/>
          </w:tcPr>
          <w:p>
            <w:pPr>
              <w:widowControl/>
              <w:spacing w:line="300" w:lineRule="exact"/>
              <w:ind w:left="0"/>
              <w:jc w:val="left"/>
              <w:textAlignment w:val="auto"/>
              <w:rPr>
                <w:rFonts w:hint="default" w:ascii="Times New Roman" w:hAnsi="Times New Roman" w:eastAsia="等线" w:cs="Times New Roman"/>
                <w:color w:val="auto"/>
                <w:kern w:val="0"/>
                <w:sz w:val="24"/>
                <w:szCs w:val="21"/>
              </w:rPr>
            </w:pPr>
          </w:p>
        </w:tc>
        <w:tc>
          <w:tcPr>
            <w:tcW w:w="553"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1460" w:type="pct"/>
            <w:gridSpan w:val="2"/>
            <w:vAlign w:val="center"/>
          </w:tcPr>
          <w:p>
            <w:pPr>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K 4.4.5 教师赴国（境）外交流、访学、参加国际会议、合作研究等情况</w:t>
            </w:r>
          </w:p>
        </w:tc>
        <w:tc>
          <w:tcPr>
            <w:tcW w:w="41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国际处（牵头）、科技处、人事处</w:t>
            </w:r>
          </w:p>
        </w:tc>
        <w:tc>
          <w:tcPr>
            <w:tcW w:w="133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286" w:type="pct"/>
            <w:vMerge w:val="restart"/>
            <w:vAlign w:val="center"/>
          </w:tcPr>
          <w:p>
            <w:pPr>
              <w:spacing w:line="300" w:lineRule="exact"/>
              <w:ind w:left="0"/>
              <w:jc w:val="left"/>
              <w:textAlignment w:val="auto"/>
              <w:rPr>
                <w:rFonts w:hint="default" w:ascii="Times New Roman" w:hAnsi="Times New Roman" w:eastAsia="等线" w:cs="Times New Roman"/>
                <w:color w:val="auto"/>
                <w:kern w:val="0"/>
                <w:sz w:val="24"/>
                <w:szCs w:val="21"/>
              </w:rPr>
            </w:pPr>
            <w:r>
              <w:rPr>
                <w:rFonts w:hint="default" w:ascii="Times New Roman" w:hAnsi="Times New Roman" w:eastAsia="方正仿宋_GB2312" w:cs="Times New Roman"/>
                <w:color w:val="auto"/>
                <w:kern w:val="2"/>
                <w:sz w:val="24"/>
                <w:szCs w:val="32"/>
              </w:rPr>
              <w:t>5.学生发展</w:t>
            </w:r>
          </w:p>
        </w:tc>
        <w:tc>
          <w:tcPr>
            <w:tcW w:w="553" w:type="pct"/>
            <w:vMerge w:val="restar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5.1理想信念</w:t>
            </w:r>
          </w:p>
        </w:tc>
        <w:tc>
          <w:tcPr>
            <w:tcW w:w="1460" w:type="pct"/>
            <w:gridSpan w:val="2"/>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5.1.1 学生理想信念和品德修养</w:t>
            </w:r>
          </w:p>
        </w:tc>
        <w:tc>
          <w:tcPr>
            <w:tcW w:w="417" w:type="pct"/>
            <w:vMerge w:val="restar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分管学生工作的副校长</w:t>
            </w:r>
          </w:p>
        </w:tc>
        <w:tc>
          <w:tcPr>
            <w:tcW w:w="369" w:type="pct"/>
            <w:vMerge w:val="restar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学生处</w:t>
            </w:r>
          </w:p>
        </w:tc>
        <w:tc>
          <w:tcPr>
            <w:tcW w:w="57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学生处（牵头）、宣传部、教务处、团委</w:t>
            </w:r>
          </w:p>
        </w:tc>
        <w:tc>
          <w:tcPr>
            <w:tcW w:w="1337" w:type="pct"/>
            <w:vMerge w:val="restar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lang w:eastAsia="zh-CN"/>
              </w:rPr>
            </w:pPr>
            <w:r>
              <w:rPr>
                <w:rFonts w:hint="default" w:ascii="Times New Roman" w:hAnsi="Times New Roman" w:eastAsia="方正仿宋_GB2312" w:cs="Times New Roman"/>
                <w:color w:val="auto"/>
                <w:kern w:val="2"/>
                <w:sz w:val="24"/>
                <w:szCs w:val="32"/>
              </w:rPr>
              <w:t>①学校在加强学风建设方面出台的制度文件</w:t>
            </w:r>
            <w:r>
              <w:rPr>
                <w:rFonts w:hint="default" w:ascii="Times New Roman" w:hAnsi="Times New Roman" w:eastAsia="方正仿宋_GB2312" w:cs="Times New Roman"/>
                <w:color w:val="auto"/>
                <w:kern w:val="2"/>
                <w:sz w:val="24"/>
                <w:szCs w:val="32"/>
                <w:lang w:eastAsia="zh-CN"/>
              </w:rPr>
              <w:t>；</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lang w:eastAsia="zh-CN"/>
              </w:rPr>
            </w:pPr>
            <w:r>
              <w:rPr>
                <w:rFonts w:hint="default" w:ascii="Times New Roman" w:hAnsi="Times New Roman" w:eastAsia="方正仿宋_GB2312" w:cs="Times New Roman"/>
                <w:color w:val="auto"/>
                <w:kern w:val="2"/>
                <w:sz w:val="24"/>
                <w:szCs w:val="32"/>
              </w:rPr>
              <w:t>②学校组织学生深入学习贯彻习近平总书记</w:t>
            </w:r>
            <w:r>
              <w:rPr>
                <w:rFonts w:hint="default" w:ascii="Times New Roman" w:hAnsi="Times New Roman" w:eastAsia="方正仿宋_GB2312" w:cs="Times New Roman"/>
                <w:strike w:val="0"/>
                <w:dstrike w:val="0"/>
                <w:color w:val="auto"/>
                <w:kern w:val="2"/>
                <w:sz w:val="24"/>
                <w:szCs w:val="32"/>
              </w:rPr>
              <w:t>在北京大学师生座谈会上的</w:t>
            </w:r>
            <w:r>
              <w:rPr>
                <w:rFonts w:hint="default" w:ascii="Times New Roman" w:hAnsi="Times New Roman" w:eastAsia="方正仿宋_GB2312" w:cs="Times New Roman"/>
                <w:color w:val="auto"/>
                <w:kern w:val="2"/>
                <w:sz w:val="24"/>
                <w:szCs w:val="32"/>
              </w:rPr>
              <w:t>重要讲话精神有关活动材料</w:t>
            </w:r>
            <w:r>
              <w:rPr>
                <w:rFonts w:hint="default" w:ascii="Times New Roman" w:hAnsi="Times New Roman" w:eastAsia="方正仿宋_GB2312" w:cs="Times New Roman"/>
                <w:color w:val="auto"/>
                <w:kern w:val="2"/>
                <w:sz w:val="24"/>
                <w:szCs w:val="32"/>
                <w:lang w:eastAsia="zh-CN"/>
              </w:rPr>
              <w:t>；</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③学校教育引导学生爱国、励志、求真、力行等活动的有关材料。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vMerge w:val="continue"/>
            <w:vAlign w:val="center"/>
          </w:tcPr>
          <w:p>
            <w:pPr>
              <w:spacing w:line="300" w:lineRule="exact"/>
              <w:ind w:left="0"/>
              <w:jc w:val="left"/>
              <w:textAlignment w:val="auto"/>
              <w:rPr>
                <w:rFonts w:hint="default" w:ascii="Times New Roman" w:hAnsi="Times New Roman" w:eastAsia="等线" w:cs="Times New Roman"/>
                <w:color w:val="auto"/>
                <w:kern w:val="0"/>
                <w:sz w:val="24"/>
                <w:szCs w:val="21"/>
              </w:rPr>
            </w:pPr>
          </w:p>
        </w:tc>
        <w:tc>
          <w:tcPr>
            <w:tcW w:w="553"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1460" w:type="pct"/>
            <w:gridSpan w:val="2"/>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5.1.2 加强学风建设，教育引导学生爱国、励志、求真、力行情况</w:t>
            </w:r>
          </w:p>
        </w:tc>
        <w:tc>
          <w:tcPr>
            <w:tcW w:w="41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学生处（牵头）、教务处、团委</w:t>
            </w:r>
          </w:p>
        </w:tc>
        <w:tc>
          <w:tcPr>
            <w:tcW w:w="133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0" w:hRule="atLeast"/>
          <w:jc w:val="center"/>
        </w:trPr>
        <w:tc>
          <w:tcPr>
            <w:tcW w:w="286" w:type="pct"/>
            <w:vMerge w:val="continue"/>
            <w:vAlign w:val="center"/>
          </w:tcPr>
          <w:p>
            <w:pPr>
              <w:spacing w:line="300" w:lineRule="exact"/>
              <w:ind w:left="0"/>
              <w:jc w:val="left"/>
              <w:textAlignment w:val="auto"/>
              <w:rPr>
                <w:rFonts w:hint="default" w:ascii="Times New Roman" w:hAnsi="Times New Roman" w:eastAsia="等线" w:cs="Times New Roman"/>
                <w:color w:val="auto"/>
                <w:kern w:val="0"/>
                <w:sz w:val="24"/>
                <w:szCs w:val="21"/>
              </w:rPr>
            </w:pPr>
          </w:p>
        </w:tc>
        <w:tc>
          <w:tcPr>
            <w:tcW w:w="553" w:type="pct"/>
            <w:vMerge w:val="restart"/>
            <w:vAlign w:val="center"/>
          </w:tcPr>
          <w:p>
            <w:pPr>
              <w:widowControl/>
              <w:spacing w:line="300" w:lineRule="exact"/>
              <w:ind w:left="0"/>
              <w:jc w:val="center"/>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5.2学业成绩及综合素质</w:t>
            </w:r>
          </w:p>
        </w:tc>
        <w:tc>
          <w:tcPr>
            <w:tcW w:w="34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B 5.2.1</w:t>
            </w:r>
          </w:p>
        </w:tc>
        <w:tc>
          <w:tcPr>
            <w:tcW w:w="1116" w:type="pct"/>
            <w:vAlign w:val="center"/>
          </w:tcPr>
          <w:p>
            <w:pPr>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B2 学生综合应用知识能力和独立解决生产、管理和服务中实际问题能力</w:t>
            </w:r>
          </w:p>
          <w:p>
            <w:pPr>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【可选】在学期间获得国家认可的职业资格证书学生数占在校生数的比例</w:t>
            </w:r>
          </w:p>
          <w:p>
            <w:pPr>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【可选】本科生以第一作者/通讯作者在公开发行期刊发表的论文数和本科生获批国家发明专利数</w:t>
            </w:r>
          </w:p>
        </w:tc>
        <w:tc>
          <w:tcPr>
            <w:tcW w:w="417" w:type="pct"/>
            <w:vMerge w:val="continue"/>
            <w:vAlign w:val="center"/>
          </w:tcPr>
          <w:p>
            <w:pPr>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Align w:val="center"/>
          </w:tcPr>
          <w:p>
            <w:pPr>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教务处（牵头）、科技处、学生处、团委、现代技术中心</w:t>
            </w:r>
          </w:p>
        </w:tc>
        <w:tc>
          <w:tcPr>
            <w:tcW w:w="1337" w:type="pct"/>
            <w:vMerge w:val="restart"/>
            <w:vAlign w:val="center"/>
          </w:tcPr>
          <w:p>
            <w:pPr>
              <w:spacing w:line="300" w:lineRule="exact"/>
              <w:ind w:left="0"/>
              <w:jc w:val="both"/>
              <w:textAlignment w:val="auto"/>
              <w:rPr>
                <w:rFonts w:hint="default" w:ascii="Times New Roman" w:hAnsi="Times New Roman" w:eastAsia="方正仿宋_GB2312" w:cs="Times New Roman"/>
                <w:color w:val="auto"/>
                <w:kern w:val="2"/>
                <w:sz w:val="24"/>
                <w:szCs w:val="32"/>
                <w:lang w:eastAsia="zh-CN"/>
              </w:rPr>
            </w:pPr>
            <w:r>
              <w:rPr>
                <w:rFonts w:hint="default" w:ascii="Times New Roman" w:hAnsi="Times New Roman" w:eastAsia="方正仿宋_GB2312" w:cs="Times New Roman"/>
                <w:color w:val="auto"/>
                <w:kern w:val="2"/>
                <w:sz w:val="24"/>
                <w:szCs w:val="32"/>
              </w:rPr>
              <w:t>①</w:t>
            </w:r>
            <w:r>
              <w:rPr>
                <w:rFonts w:hint="default" w:ascii="Times New Roman" w:hAnsi="Times New Roman" w:eastAsia="方正仿宋_GB2312" w:cs="Times New Roman"/>
                <w:color w:val="auto"/>
                <w:kern w:val="2"/>
                <w:sz w:val="24"/>
                <w:szCs w:val="32"/>
                <w:lang w:val="en-US" w:eastAsia="zh-CN"/>
              </w:rPr>
              <w:t>近三年</w:t>
            </w:r>
            <w:r>
              <w:rPr>
                <w:rFonts w:hint="default" w:ascii="Times New Roman" w:hAnsi="Times New Roman" w:eastAsia="方正仿宋_GB2312" w:cs="Times New Roman"/>
                <w:color w:val="auto"/>
                <w:kern w:val="2"/>
                <w:sz w:val="24"/>
                <w:szCs w:val="32"/>
              </w:rPr>
              <w:t>学生发表的论文、获批的专利情况统计表</w:t>
            </w:r>
            <w:r>
              <w:rPr>
                <w:rFonts w:hint="default" w:ascii="Times New Roman" w:hAnsi="Times New Roman" w:eastAsia="方正仿宋_GB2312" w:cs="Times New Roman"/>
                <w:color w:val="auto"/>
                <w:kern w:val="2"/>
                <w:sz w:val="24"/>
                <w:szCs w:val="32"/>
                <w:lang w:eastAsia="zh-CN"/>
              </w:rPr>
              <w:t>；</w:t>
            </w:r>
          </w:p>
          <w:p>
            <w:pPr>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微软雅黑" w:cs="Times New Roman"/>
                <w:color w:val="auto"/>
                <w:kern w:val="2"/>
                <w:sz w:val="24"/>
                <w:szCs w:val="32"/>
              </w:rPr>
              <w:t>②</w:t>
            </w:r>
            <w:r>
              <w:rPr>
                <w:rFonts w:hint="default" w:ascii="Times New Roman" w:hAnsi="Times New Roman" w:eastAsia="方正仿宋_GB2312" w:cs="Times New Roman"/>
                <w:color w:val="auto"/>
                <w:kern w:val="2"/>
                <w:sz w:val="24"/>
                <w:szCs w:val="32"/>
              </w:rPr>
              <w:t>学校加强学生综合素质培养</w:t>
            </w:r>
            <w:r>
              <w:rPr>
                <w:rFonts w:hint="default" w:ascii="Times New Roman" w:hAnsi="Times New Roman" w:eastAsia="方正仿宋_GB2312" w:cs="Times New Roman"/>
                <w:color w:val="auto"/>
                <w:kern w:val="2"/>
                <w:sz w:val="24"/>
                <w:szCs w:val="32"/>
                <w:lang w:eastAsia="zh-CN"/>
              </w:rPr>
              <w:t>（</w:t>
            </w:r>
            <w:r>
              <w:rPr>
                <w:rFonts w:hint="default" w:ascii="Times New Roman" w:hAnsi="Times New Roman" w:eastAsia="方正仿宋_GB2312" w:cs="Times New Roman"/>
                <w:color w:val="auto"/>
                <w:kern w:val="2"/>
                <w:sz w:val="24"/>
                <w:szCs w:val="32"/>
              </w:rPr>
              <w:t>通识教育、体育、美育、劳动教育</w:t>
            </w:r>
            <w:r>
              <w:rPr>
                <w:rFonts w:hint="default" w:ascii="Times New Roman" w:hAnsi="Times New Roman" w:eastAsia="方正仿宋_GB2312" w:cs="Times New Roman"/>
                <w:color w:val="auto"/>
                <w:kern w:val="2"/>
                <w:sz w:val="24"/>
                <w:szCs w:val="32"/>
                <w:lang w:eastAsia="zh-CN"/>
              </w:rPr>
              <w:t>）</w:t>
            </w:r>
            <w:r>
              <w:rPr>
                <w:rFonts w:hint="default" w:ascii="Times New Roman" w:hAnsi="Times New Roman" w:eastAsia="方正仿宋_GB2312" w:cs="Times New Roman"/>
                <w:color w:val="auto"/>
                <w:kern w:val="2"/>
                <w:sz w:val="24"/>
                <w:szCs w:val="32"/>
              </w:rPr>
              <w:t>方面的有关文件；</w:t>
            </w:r>
          </w:p>
          <w:p>
            <w:pPr>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微软雅黑" w:cs="Times New Roman"/>
                <w:color w:val="auto"/>
                <w:kern w:val="2"/>
                <w:sz w:val="24"/>
                <w:szCs w:val="32"/>
              </w:rPr>
              <w:t>③</w:t>
            </w:r>
            <w:r>
              <w:rPr>
                <w:rFonts w:hint="default" w:ascii="Times New Roman" w:hAnsi="Times New Roman" w:eastAsia="方正仿宋_GB2312" w:cs="Times New Roman"/>
                <w:color w:val="auto"/>
                <w:kern w:val="2"/>
                <w:sz w:val="24"/>
                <w:szCs w:val="32"/>
              </w:rPr>
              <w:t>获得国家认可的职业资格证书学生数占在校生数的比例统计表；</w:t>
            </w:r>
          </w:p>
          <w:p>
            <w:pPr>
              <w:spacing w:line="300" w:lineRule="exact"/>
              <w:ind w:left="0"/>
              <w:jc w:val="both"/>
              <w:textAlignment w:val="auto"/>
              <w:rPr>
                <w:rFonts w:hint="default" w:ascii="Times New Roman" w:hAnsi="Times New Roman" w:eastAsia="方正仿宋_GB2312" w:cs="Times New Roman"/>
                <w:color w:val="FF0000"/>
                <w:kern w:val="2"/>
                <w:sz w:val="24"/>
                <w:szCs w:val="32"/>
                <w:lang w:val="en-US" w:eastAsia="zh-CN"/>
              </w:rPr>
            </w:pPr>
            <w:r>
              <w:rPr>
                <w:rFonts w:hint="default" w:ascii="Times New Roman" w:hAnsi="Times New Roman" w:eastAsia="微软雅黑" w:cs="Times New Roman"/>
                <w:color w:val="auto"/>
                <w:kern w:val="2"/>
                <w:sz w:val="24"/>
                <w:szCs w:val="32"/>
              </w:rPr>
              <w:t>④</w:t>
            </w:r>
            <w:r>
              <w:rPr>
                <w:rFonts w:hint="default" w:ascii="Times New Roman" w:hAnsi="Times New Roman" w:eastAsia="方正仿宋_GB2312" w:cs="Times New Roman"/>
                <w:color w:val="auto"/>
                <w:kern w:val="2"/>
                <w:sz w:val="24"/>
                <w:szCs w:val="32"/>
              </w:rPr>
              <w:t>本科生体质测试合格率统计表</w:t>
            </w:r>
            <w:r>
              <w:rPr>
                <w:rFonts w:hint="default" w:ascii="Times New Roman" w:hAnsi="Times New Roman" w:eastAsia="方正仿宋_GB2312" w:cs="Times New Roman"/>
                <w:color w:val="auto"/>
                <w:kern w:val="2"/>
                <w:sz w:val="24"/>
                <w:szCs w:val="32"/>
                <w:lang w:eastAsia="zh-CN"/>
              </w:rPr>
              <w:t>；</w:t>
            </w:r>
          </w:p>
          <w:p>
            <w:pPr>
              <w:spacing w:line="300" w:lineRule="exact"/>
              <w:ind w:left="0"/>
              <w:jc w:val="both"/>
              <w:textAlignment w:val="auto"/>
              <w:rPr>
                <w:rFonts w:hint="default" w:ascii="Times New Roman" w:hAnsi="Times New Roman" w:eastAsia="方正仿宋_GB2312" w:cs="Times New Roman"/>
                <w:color w:val="auto"/>
                <w:kern w:val="2"/>
                <w:sz w:val="24"/>
                <w:szCs w:val="32"/>
                <w:lang w:eastAsia="zh-CN"/>
              </w:rPr>
            </w:pPr>
            <w:r>
              <w:rPr>
                <w:rFonts w:hint="default" w:ascii="Times New Roman" w:hAnsi="Times New Roman" w:eastAsia="微软雅黑" w:cs="Times New Roman"/>
                <w:color w:val="auto"/>
                <w:kern w:val="2"/>
                <w:sz w:val="24"/>
                <w:szCs w:val="32"/>
              </w:rPr>
              <w:t>⑤</w:t>
            </w:r>
            <w:r>
              <w:rPr>
                <w:rFonts w:hint="default" w:ascii="Times New Roman" w:hAnsi="Times New Roman" w:eastAsia="方正仿宋_GB2312" w:cs="Times New Roman"/>
                <w:color w:val="auto"/>
                <w:kern w:val="2"/>
                <w:sz w:val="24"/>
                <w:szCs w:val="32"/>
              </w:rPr>
              <w:t>学生参加社团活动、校园文化、社会实践、志愿服务等活动资料</w:t>
            </w:r>
            <w:r>
              <w:rPr>
                <w:rFonts w:hint="default" w:ascii="Times New Roman" w:hAnsi="Times New Roman" w:eastAsia="方正仿宋_GB2312" w:cs="Times New Roman"/>
                <w:color w:val="auto"/>
                <w:kern w:val="2"/>
                <w:sz w:val="24"/>
                <w:szCs w:val="32"/>
                <w:lang w:eastAsia="zh-CN"/>
              </w:rPr>
              <w:t>；</w:t>
            </w:r>
          </w:p>
          <w:p>
            <w:pPr>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微软雅黑" w:cs="Times New Roman"/>
                <w:color w:val="auto"/>
                <w:kern w:val="2"/>
                <w:sz w:val="24"/>
                <w:szCs w:val="32"/>
              </w:rPr>
              <w:t>⑥</w:t>
            </w:r>
            <w:r>
              <w:rPr>
                <w:rFonts w:hint="default" w:ascii="Times New Roman" w:hAnsi="Times New Roman" w:eastAsia="方正仿宋_GB2312" w:cs="Times New Roman"/>
                <w:color w:val="auto"/>
                <w:kern w:val="2"/>
                <w:sz w:val="24"/>
                <w:szCs w:val="32"/>
              </w:rPr>
              <w:t>省级以上艺术展演、体育竞赛参赛获奖学生人次数占学生总数的比例的统计表</w:t>
            </w:r>
            <w:r>
              <w:rPr>
                <w:rFonts w:hint="default" w:ascii="Times New Roman" w:hAnsi="Times New Roman" w:eastAsia="方正仿宋_GB2312" w:cs="Times New Roman"/>
                <w:color w:val="auto"/>
                <w:kern w:val="2"/>
                <w:sz w:val="24"/>
                <w:szCs w:val="32"/>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6" w:type="pct"/>
            <w:vMerge w:val="continue"/>
            <w:vAlign w:val="center"/>
          </w:tcPr>
          <w:p>
            <w:pPr>
              <w:spacing w:line="300" w:lineRule="exact"/>
              <w:ind w:left="0"/>
              <w:jc w:val="left"/>
              <w:textAlignment w:val="auto"/>
              <w:rPr>
                <w:rFonts w:hint="default" w:ascii="Times New Roman" w:hAnsi="Times New Roman" w:eastAsia="等线" w:cs="Times New Roman"/>
                <w:color w:val="auto"/>
                <w:kern w:val="0"/>
                <w:sz w:val="24"/>
                <w:szCs w:val="21"/>
              </w:rPr>
            </w:pPr>
          </w:p>
        </w:tc>
        <w:tc>
          <w:tcPr>
            <w:tcW w:w="553"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1460" w:type="pct"/>
            <w:gridSpan w:val="2"/>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5.2.2 开展通识教育、体育、美育、劳动教育的措施与成效</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【必选】体质测试达标率</w:t>
            </w:r>
          </w:p>
        </w:tc>
        <w:tc>
          <w:tcPr>
            <w:tcW w:w="41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教务处（牵头）、学生处、团委</w:t>
            </w:r>
          </w:p>
        </w:tc>
        <w:tc>
          <w:tcPr>
            <w:tcW w:w="133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286" w:type="pct"/>
            <w:vMerge w:val="continue"/>
            <w:vAlign w:val="center"/>
          </w:tcPr>
          <w:p>
            <w:pPr>
              <w:spacing w:line="300" w:lineRule="exact"/>
              <w:ind w:left="0"/>
              <w:jc w:val="left"/>
              <w:textAlignment w:val="auto"/>
              <w:rPr>
                <w:rFonts w:hint="default" w:ascii="Times New Roman" w:hAnsi="Times New Roman" w:eastAsia="等线" w:cs="Times New Roman"/>
                <w:color w:val="auto"/>
                <w:kern w:val="0"/>
                <w:sz w:val="24"/>
                <w:szCs w:val="21"/>
              </w:rPr>
            </w:pPr>
          </w:p>
        </w:tc>
        <w:tc>
          <w:tcPr>
            <w:tcW w:w="553"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1460" w:type="pct"/>
            <w:gridSpan w:val="2"/>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5.2.3 社团活动、校园文化、社会实践、志愿服务等活动开展情况及育人效果</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【可选】省级以上艺术展演、体育竞赛参赛获奖学生人次数占学生总数的比例</w:t>
            </w:r>
          </w:p>
        </w:tc>
        <w:tc>
          <w:tcPr>
            <w:tcW w:w="41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团委（牵头）、教务处、学生处</w:t>
            </w:r>
          </w:p>
        </w:tc>
        <w:tc>
          <w:tcPr>
            <w:tcW w:w="133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286" w:type="pct"/>
            <w:vMerge w:val="continue"/>
            <w:vAlign w:val="center"/>
          </w:tcPr>
          <w:p>
            <w:pPr>
              <w:spacing w:line="300" w:lineRule="exact"/>
              <w:ind w:left="0"/>
              <w:jc w:val="left"/>
              <w:textAlignment w:val="auto"/>
              <w:rPr>
                <w:rFonts w:hint="default" w:ascii="Times New Roman" w:hAnsi="Times New Roman" w:eastAsia="等线" w:cs="Times New Roman"/>
                <w:color w:val="auto"/>
                <w:kern w:val="0"/>
                <w:sz w:val="24"/>
                <w:szCs w:val="21"/>
              </w:rPr>
            </w:pPr>
          </w:p>
        </w:tc>
        <w:tc>
          <w:tcPr>
            <w:tcW w:w="553" w:type="pct"/>
            <w:vMerge w:val="restart"/>
            <w:vAlign w:val="center"/>
          </w:tcPr>
          <w:p>
            <w:pPr>
              <w:widowControl/>
              <w:spacing w:line="300" w:lineRule="exact"/>
              <w:ind w:left="0"/>
              <w:jc w:val="center"/>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K 5.3国际视野</w:t>
            </w:r>
          </w:p>
        </w:tc>
        <w:tc>
          <w:tcPr>
            <w:tcW w:w="1460" w:type="pct"/>
            <w:gridSpan w:val="2"/>
            <w:vAlign w:val="center"/>
          </w:tcPr>
          <w:p>
            <w:pPr>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K 5.3.1 与国（境）外大学合作办学、合作育人以及与本科教育相关的国际交流活动和来华留学生教育开展情况</w:t>
            </w:r>
          </w:p>
        </w:tc>
        <w:tc>
          <w:tcPr>
            <w:tcW w:w="41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国际处（牵头）、教务处、人事处</w:t>
            </w:r>
          </w:p>
        </w:tc>
        <w:tc>
          <w:tcPr>
            <w:tcW w:w="1337" w:type="pct"/>
            <w:vMerge w:val="restar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①学校国际化发展战略规划或相关文件；</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②学校激励教师、本科生开展国际合作交流方面的政策与措施等材料；</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③在学期间赴国（境）外交流、访学、实习的学生数占在校生数的比例统计表。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286" w:type="pct"/>
            <w:vMerge w:val="continue"/>
            <w:vAlign w:val="center"/>
          </w:tcPr>
          <w:p>
            <w:pPr>
              <w:spacing w:line="300" w:lineRule="exact"/>
              <w:ind w:left="0"/>
              <w:jc w:val="left"/>
              <w:textAlignment w:val="auto"/>
              <w:rPr>
                <w:rFonts w:hint="default" w:ascii="Times New Roman" w:hAnsi="Times New Roman" w:eastAsia="等线" w:cs="Times New Roman"/>
                <w:color w:val="auto"/>
                <w:kern w:val="0"/>
                <w:sz w:val="24"/>
                <w:szCs w:val="21"/>
              </w:rPr>
            </w:pPr>
          </w:p>
        </w:tc>
        <w:tc>
          <w:tcPr>
            <w:tcW w:w="553"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1460" w:type="pct"/>
            <w:gridSpan w:val="2"/>
            <w:vAlign w:val="center"/>
          </w:tcPr>
          <w:p>
            <w:pPr>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K</w:t>
            </w:r>
            <w:r>
              <w:rPr>
                <w:rFonts w:hint="default" w:ascii="Times New Roman" w:hAnsi="Times New Roman" w:eastAsia="方正仿宋_GB2312" w:cs="Times New Roman"/>
                <w:color w:val="auto"/>
                <w:kern w:val="2"/>
                <w:sz w:val="24"/>
                <w:szCs w:val="32"/>
                <w:lang w:val="en-US" w:eastAsia="zh-CN"/>
              </w:rPr>
              <w:t xml:space="preserve"> </w:t>
            </w:r>
            <w:r>
              <w:rPr>
                <w:rFonts w:hint="default" w:ascii="Times New Roman" w:hAnsi="Times New Roman" w:eastAsia="方正仿宋_GB2312" w:cs="Times New Roman"/>
                <w:color w:val="auto"/>
                <w:kern w:val="2"/>
                <w:sz w:val="24"/>
                <w:szCs w:val="32"/>
              </w:rPr>
              <w:t>5.3.2 国际先进教育理念、优质教育资源的吸收内化、培育和输出共享情况</w:t>
            </w:r>
          </w:p>
        </w:tc>
        <w:tc>
          <w:tcPr>
            <w:tcW w:w="41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国际处（牵头）、教务处</w:t>
            </w:r>
          </w:p>
        </w:tc>
        <w:tc>
          <w:tcPr>
            <w:tcW w:w="133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286" w:type="pct"/>
            <w:vMerge w:val="continue"/>
            <w:vAlign w:val="center"/>
          </w:tcPr>
          <w:p>
            <w:pPr>
              <w:spacing w:line="300" w:lineRule="exact"/>
              <w:ind w:left="0"/>
              <w:jc w:val="left"/>
              <w:textAlignment w:val="auto"/>
              <w:rPr>
                <w:rFonts w:hint="default" w:ascii="Times New Roman" w:hAnsi="Times New Roman" w:eastAsia="等线" w:cs="Times New Roman"/>
                <w:color w:val="auto"/>
                <w:kern w:val="0"/>
                <w:sz w:val="24"/>
                <w:szCs w:val="21"/>
              </w:rPr>
            </w:pPr>
          </w:p>
        </w:tc>
        <w:tc>
          <w:tcPr>
            <w:tcW w:w="553"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1460" w:type="pct"/>
            <w:gridSpan w:val="2"/>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K 5.3.3 学生赴国（境）外交流、访学、实习、竞赛、参加国际会议、合作研究等情况</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【可选】在学期间赴国（境）外交流、访学、实习的学生数占在校生数的比例</w:t>
            </w:r>
          </w:p>
        </w:tc>
        <w:tc>
          <w:tcPr>
            <w:tcW w:w="41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国际处（牵头）、教务处、科技处、学生处</w:t>
            </w:r>
          </w:p>
        </w:tc>
        <w:tc>
          <w:tcPr>
            <w:tcW w:w="133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286" w:type="pct"/>
            <w:vMerge w:val="continue"/>
            <w:vAlign w:val="center"/>
          </w:tcPr>
          <w:p>
            <w:pPr>
              <w:spacing w:line="300" w:lineRule="exact"/>
              <w:ind w:left="0"/>
              <w:jc w:val="left"/>
              <w:textAlignment w:val="auto"/>
              <w:rPr>
                <w:rFonts w:hint="default" w:ascii="Times New Roman" w:hAnsi="Times New Roman" w:eastAsia="等线" w:cs="Times New Roman"/>
                <w:color w:val="auto"/>
                <w:kern w:val="0"/>
                <w:sz w:val="24"/>
                <w:szCs w:val="21"/>
              </w:rPr>
            </w:pPr>
          </w:p>
        </w:tc>
        <w:tc>
          <w:tcPr>
            <w:tcW w:w="553" w:type="pct"/>
            <w:vMerge w:val="restar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5.4支持服务</w:t>
            </w:r>
          </w:p>
        </w:tc>
        <w:tc>
          <w:tcPr>
            <w:tcW w:w="1460" w:type="pct"/>
            <w:gridSpan w:val="2"/>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5.4.1 领导干部和教师参与学生工作的情况</w:t>
            </w:r>
          </w:p>
        </w:tc>
        <w:tc>
          <w:tcPr>
            <w:tcW w:w="41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办公室（牵头）、组织部、教务处、学生处</w:t>
            </w:r>
          </w:p>
        </w:tc>
        <w:tc>
          <w:tcPr>
            <w:tcW w:w="1337" w:type="pct"/>
            <w:vMerge w:val="restar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lang w:val="en-US" w:eastAsia="zh-CN"/>
              </w:rPr>
            </w:pPr>
            <w:r>
              <w:rPr>
                <w:rFonts w:hint="default" w:ascii="Times New Roman" w:hAnsi="Times New Roman" w:eastAsia="方正仿宋_GB2312" w:cs="Times New Roman"/>
                <w:color w:val="auto"/>
                <w:kern w:val="2"/>
                <w:sz w:val="24"/>
                <w:szCs w:val="32"/>
              </w:rPr>
              <w:t>①学校贯彻落实《中共教育部党组关于加强和改进高校领导干部深入基层联系学生工作的通知》（教党函〔2019〕34号）</w:t>
            </w:r>
            <w:r>
              <w:rPr>
                <w:rFonts w:hint="default" w:ascii="Times New Roman" w:hAnsi="Times New Roman" w:eastAsia="方正仿宋_GB2312" w:cs="Times New Roman"/>
                <w:color w:val="auto"/>
                <w:kern w:val="2"/>
                <w:sz w:val="24"/>
                <w:szCs w:val="32"/>
                <w:lang w:val="en-US" w:eastAsia="zh-CN"/>
              </w:rPr>
              <w:t>文件</w:t>
            </w:r>
            <w:r>
              <w:rPr>
                <w:rFonts w:hint="default" w:ascii="Times New Roman" w:hAnsi="Times New Roman" w:eastAsia="方正仿宋_GB2312" w:cs="Times New Roman"/>
                <w:color w:val="auto"/>
                <w:kern w:val="2"/>
                <w:sz w:val="24"/>
                <w:szCs w:val="32"/>
              </w:rPr>
              <w:t>要求</w:t>
            </w:r>
            <w:r>
              <w:rPr>
                <w:rFonts w:hint="default" w:ascii="Times New Roman" w:hAnsi="Times New Roman" w:eastAsia="方正仿宋_GB2312" w:cs="Times New Roman"/>
                <w:color w:val="auto"/>
                <w:kern w:val="2"/>
                <w:sz w:val="24"/>
                <w:szCs w:val="32"/>
                <w:lang w:val="en-US" w:eastAsia="zh-CN"/>
              </w:rPr>
              <w:t>的相关材料；</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②学校制订的学生发展支持服务方面（学业、职业生涯规划、就业、家庭经济困难学生资助、心理健康咨询等）的制度文件；</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③专职辅导员岗位与在校生比例统计表；</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lang w:eastAsia="zh-CN"/>
              </w:rPr>
            </w:pPr>
            <w:r>
              <w:rPr>
                <w:rFonts w:hint="default" w:ascii="Times New Roman" w:hAnsi="Times New Roman" w:eastAsia="方正仿宋_GB2312" w:cs="Times New Roman"/>
                <w:color w:val="auto"/>
                <w:kern w:val="2"/>
                <w:sz w:val="24"/>
                <w:szCs w:val="32"/>
              </w:rPr>
              <w:t>④专职从事心理健康教育教师与在校生比例统计表；</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lang w:val="en-US" w:eastAsia="zh-CN"/>
              </w:rPr>
            </w:pPr>
            <w:r>
              <w:rPr>
                <w:rFonts w:hint="default" w:ascii="Times New Roman" w:hAnsi="Times New Roman" w:eastAsia="方正仿宋_GB2312" w:cs="Times New Roman"/>
                <w:color w:val="auto"/>
                <w:kern w:val="2"/>
                <w:sz w:val="24"/>
                <w:szCs w:val="32"/>
              </w:rPr>
              <w:t>⑤</w:t>
            </w:r>
            <w:r>
              <w:rPr>
                <w:rFonts w:hint="default" w:ascii="Times New Roman" w:hAnsi="Times New Roman" w:eastAsia="方正仿宋_GB2312" w:cs="Times New Roman"/>
                <w:color w:val="auto"/>
                <w:kern w:val="2"/>
                <w:sz w:val="24"/>
                <w:szCs w:val="32"/>
                <w:lang w:val="en-US" w:eastAsia="zh-CN"/>
              </w:rPr>
              <w:t>学校专职校医开展工作情况汇总；</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⑥专职就业指导教师和专职就业工作人员与应届毕业生比例统计表；</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lang w:eastAsia="zh-CN"/>
              </w:rPr>
            </w:pPr>
            <w:r>
              <w:rPr>
                <w:rFonts w:hint="default" w:ascii="Times New Roman" w:hAnsi="Times New Roman" w:eastAsia="微软雅黑" w:cs="Times New Roman"/>
                <w:color w:val="auto"/>
                <w:kern w:val="2"/>
                <w:sz w:val="24"/>
                <w:szCs w:val="32"/>
              </w:rPr>
              <w:t>⑦</w:t>
            </w:r>
            <w:r>
              <w:rPr>
                <w:rFonts w:hint="default" w:ascii="Times New Roman" w:hAnsi="Times New Roman" w:eastAsia="方正仿宋_GB2312" w:cs="Times New Roman"/>
                <w:color w:val="auto"/>
                <w:kern w:val="2"/>
                <w:sz w:val="24"/>
                <w:szCs w:val="32"/>
              </w:rPr>
              <w:t>学分制改革和弹性学习、辅修专业、双学士学位专业学习的制度文件</w:t>
            </w:r>
            <w:r>
              <w:rPr>
                <w:rFonts w:hint="default" w:ascii="Times New Roman" w:hAnsi="Times New Roman" w:eastAsia="方正仿宋_GB2312" w:cs="Times New Roman"/>
                <w:color w:val="auto"/>
                <w:kern w:val="2"/>
                <w:sz w:val="24"/>
                <w:szCs w:val="32"/>
                <w:lang w:eastAsia="zh-CN"/>
              </w:rPr>
              <w:t>；</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微软雅黑" w:cs="Times New Roman"/>
                <w:color w:val="auto"/>
                <w:kern w:val="2"/>
                <w:sz w:val="24"/>
                <w:szCs w:val="32"/>
              </w:rPr>
              <w:t>⑧</w:t>
            </w:r>
            <w:r>
              <w:rPr>
                <w:rFonts w:hint="default" w:ascii="Times New Roman" w:hAnsi="Times New Roman" w:eastAsia="方正仿宋_GB2312" w:cs="Times New Roman"/>
                <w:color w:val="auto"/>
                <w:kern w:val="2"/>
                <w:sz w:val="24"/>
                <w:szCs w:val="32"/>
              </w:rPr>
              <w:t>开展学生成长增值评价、学习体验等的相关材料；</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微软雅黑" w:cs="Times New Roman"/>
                <w:color w:val="auto"/>
                <w:kern w:val="2"/>
                <w:sz w:val="24"/>
                <w:szCs w:val="32"/>
              </w:rPr>
              <w:t>⑨</w:t>
            </w:r>
            <w:r>
              <w:rPr>
                <w:rFonts w:hint="default" w:ascii="Times New Roman" w:hAnsi="Times New Roman" w:eastAsia="方正仿宋_GB2312" w:cs="Times New Roman"/>
                <w:color w:val="auto"/>
                <w:kern w:val="2"/>
                <w:sz w:val="24"/>
                <w:szCs w:val="32"/>
              </w:rPr>
              <w:t>本科生导师制的开展的相关材料</w:t>
            </w:r>
            <w:r>
              <w:rPr>
                <w:rFonts w:hint="default" w:ascii="Times New Roman" w:hAnsi="Times New Roman" w:eastAsia="方正仿宋_GB2312" w:cs="Times New Roman"/>
                <w:color w:val="auto"/>
                <w:kern w:val="2"/>
                <w:sz w:val="24"/>
                <w:szCs w:val="32"/>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1" w:hRule="atLeast"/>
          <w:jc w:val="center"/>
        </w:trPr>
        <w:tc>
          <w:tcPr>
            <w:tcW w:w="286" w:type="pct"/>
            <w:vMerge w:val="continue"/>
            <w:vAlign w:val="center"/>
          </w:tcPr>
          <w:p>
            <w:pPr>
              <w:spacing w:line="300" w:lineRule="exact"/>
              <w:ind w:left="0"/>
              <w:jc w:val="left"/>
              <w:textAlignment w:val="auto"/>
              <w:rPr>
                <w:rFonts w:hint="default" w:ascii="Times New Roman" w:hAnsi="Times New Roman" w:eastAsia="等线" w:cs="Times New Roman"/>
                <w:color w:val="auto"/>
                <w:kern w:val="0"/>
                <w:sz w:val="24"/>
                <w:szCs w:val="21"/>
              </w:rPr>
            </w:pPr>
          </w:p>
        </w:tc>
        <w:tc>
          <w:tcPr>
            <w:tcW w:w="553"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1460" w:type="pct"/>
            <w:gridSpan w:val="2"/>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5.4.2 学校开展学生指导服务工作（学业、职业生涯规划、就业、家庭经济困难学生资助、心理健康咨询等）情况，学业导师、心理辅导教师、校医等配备及师生交流活动专门场所建设情况</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【必选】专职辅导员岗位与在校生比例≥1:200</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【必选】专职从事心理健康教育教师与在校生比例≥1:4000且至少2名</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【必选】专职就业指导教师和专职就业工作人员与应届毕业生比例≥1:500</w:t>
            </w:r>
          </w:p>
        </w:tc>
        <w:tc>
          <w:tcPr>
            <w:tcW w:w="41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学生处（牵头）、教务处、人事处、后保处、管委会、心理健康教育中心</w:t>
            </w:r>
          </w:p>
        </w:tc>
        <w:tc>
          <w:tcPr>
            <w:tcW w:w="133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286" w:type="pct"/>
            <w:vMerge w:val="continue"/>
            <w:vAlign w:val="center"/>
          </w:tcPr>
          <w:p>
            <w:pPr>
              <w:widowControl/>
              <w:spacing w:line="300" w:lineRule="exact"/>
              <w:ind w:left="0"/>
              <w:jc w:val="left"/>
              <w:textAlignment w:val="auto"/>
              <w:rPr>
                <w:rFonts w:hint="default" w:ascii="Times New Roman" w:hAnsi="Times New Roman" w:eastAsia="等线" w:cs="Times New Roman"/>
                <w:color w:val="auto"/>
                <w:kern w:val="0"/>
                <w:sz w:val="24"/>
                <w:szCs w:val="21"/>
              </w:rPr>
            </w:pPr>
          </w:p>
        </w:tc>
        <w:tc>
          <w:tcPr>
            <w:tcW w:w="553"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1460" w:type="pct"/>
            <w:gridSpan w:val="2"/>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5.4.3 与学分制改革和弹性学习相适应的管理制度、辅修专业制度、双学士学位制度建设情况</w:t>
            </w:r>
          </w:p>
        </w:tc>
        <w:tc>
          <w:tcPr>
            <w:tcW w:w="41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教务处（牵头）、学生处</w:t>
            </w:r>
          </w:p>
        </w:tc>
        <w:tc>
          <w:tcPr>
            <w:tcW w:w="133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286" w:type="pct"/>
            <w:vMerge w:val="continue"/>
            <w:vAlign w:val="center"/>
          </w:tcPr>
          <w:p>
            <w:pPr>
              <w:widowControl/>
              <w:spacing w:line="300" w:lineRule="exact"/>
              <w:ind w:left="0"/>
              <w:jc w:val="left"/>
              <w:textAlignment w:val="auto"/>
              <w:rPr>
                <w:rFonts w:hint="default" w:ascii="Times New Roman" w:hAnsi="Times New Roman" w:eastAsia="等线" w:cs="Times New Roman"/>
                <w:color w:val="auto"/>
                <w:kern w:val="0"/>
                <w:sz w:val="24"/>
                <w:szCs w:val="21"/>
              </w:rPr>
            </w:pPr>
          </w:p>
        </w:tc>
        <w:tc>
          <w:tcPr>
            <w:tcW w:w="553"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1460" w:type="pct"/>
            <w:gridSpan w:val="2"/>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K 5.4.4 探索学生成长增值评价，重视学生学习体验、自我发展能力和职业发展能力的具体措施及实施成效</w:t>
            </w:r>
          </w:p>
        </w:tc>
        <w:tc>
          <w:tcPr>
            <w:tcW w:w="41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学生处（牵头）、教务处</w:t>
            </w:r>
          </w:p>
        </w:tc>
        <w:tc>
          <w:tcPr>
            <w:tcW w:w="133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286" w:type="pct"/>
            <w:vMerge w:val="restart"/>
            <w:vAlign w:val="center"/>
          </w:tcPr>
          <w:p>
            <w:pPr>
              <w:spacing w:line="300" w:lineRule="exact"/>
              <w:ind w:left="0"/>
              <w:jc w:val="left"/>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6.质量保障</w:t>
            </w:r>
          </w:p>
        </w:tc>
        <w:tc>
          <w:tcPr>
            <w:tcW w:w="553" w:type="pct"/>
            <w:vMerge w:val="restar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6.1质量管理</w:t>
            </w:r>
          </w:p>
        </w:tc>
        <w:tc>
          <w:tcPr>
            <w:tcW w:w="1460" w:type="pct"/>
            <w:gridSpan w:val="2"/>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6.1.1 学校质量标准、质量管理制度、质量保障机构及队伍建设情况</w:t>
            </w:r>
          </w:p>
        </w:tc>
        <w:tc>
          <w:tcPr>
            <w:tcW w:w="417" w:type="pct"/>
            <w:vMerge w:val="restar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协管发展质量评估的副校长</w:t>
            </w:r>
          </w:p>
        </w:tc>
        <w:tc>
          <w:tcPr>
            <w:tcW w:w="369" w:type="pct"/>
            <w:vMerge w:val="restar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发规处</w:t>
            </w:r>
          </w:p>
        </w:tc>
        <w:tc>
          <w:tcPr>
            <w:tcW w:w="57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教务处（牵头）、组织部、发规处</w:t>
            </w:r>
          </w:p>
        </w:tc>
        <w:tc>
          <w:tcPr>
            <w:tcW w:w="1337" w:type="pct"/>
            <w:vMerge w:val="restar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①学校质量标准体系文件；</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微软雅黑" w:cs="Times New Roman"/>
                <w:color w:val="auto"/>
                <w:kern w:val="2"/>
                <w:sz w:val="24"/>
                <w:szCs w:val="32"/>
              </w:rPr>
              <w:t>②</w:t>
            </w:r>
            <w:r>
              <w:rPr>
                <w:rFonts w:hint="default" w:ascii="Times New Roman" w:hAnsi="Times New Roman" w:eastAsia="方正仿宋_GB2312" w:cs="Times New Roman"/>
                <w:color w:val="auto"/>
                <w:kern w:val="2"/>
                <w:sz w:val="24"/>
                <w:szCs w:val="32"/>
              </w:rPr>
              <w:t>学校制订的质量管理制度文件；</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lang w:eastAsia="zh-CN"/>
              </w:rPr>
            </w:pPr>
            <w:r>
              <w:rPr>
                <w:rFonts w:hint="default" w:ascii="Times New Roman" w:hAnsi="Times New Roman" w:eastAsia="微软雅黑" w:cs="Times New Roman"/>
                <w:color w:val="auto"/>
                <w:kern w:val="2"/>
                <w:sz w:val="24"/>
                <w:szCs w:val="32"/>
              </w:rPr>
              <w:t>③</w:t>
            </w:r>
            <w:r>
              <w:rPr>
                <w:rFonts w:hint="default" w:ascii="Times New Roman" w:hAnsi="Times New Roman" w:eastAsia="方正仿宋_GB2312" w:cs="Times New Roman"/>
                <w:color w:val="auto"/>
                <w:kern w:val="2"/>
                <w:sz w:val="24"/>
                <w:szCs w:val="32"/>
              </w:rPr>
              <w:t>质量监控机构设置文件</w:t>
            </w:r>
            <w:r>
              <w:rPr>
                <w:rFonts w:hint="default" w:ascii="Times New Roman" w:hAnsi="Times New Roman" w:eastAsia="方正仿宋_GB2312" w:cs="Times New Roman"/>
                <w:color w:val="auto"/>
                <w:kern w:val="2"/>
                <w:sz w:val="24"/>
                <w:szCs w:val="32"/>
                <w:lang w:eastAsia="zh-CN"/>
              </w:rPr>
              <w:t>；</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lang w:val="en-US" w:eastAsia="zh-CN"/>
              </w:rPr>
            </w:pPr>
            <w:r>
              <w:rPr>
                <w:rFonts w:hint="default" w:ascii="Times New Roman" w:hAnsi="Times New Roman" w:eastAsia="微软雅黑" w:cs="Times New Roman"/>
                <w:color w:val="auto"/>
                <w:kern w:val="2"/>
                <w:sz w:val="24"/>
                <w:szCs w:val="32"/>
              </w:rPr>
              <w:t>④</w:t>
            </w:r>
            <w:r>
              <w:rPr>
                <w:rFonts w:hint="default" w:ascii="Times New Roman" w:hAnsi="Times New Roman" w:eastAsia="方正仿宋_GB2312" w:cs="Times New Roman"/>
                <w:color w:val="auto"/>
                <w:kern w:val="2"/>
                <w:sz w:val="24"/>
                <w:szCs w:val="32"/>
              </w:rPr>
              <w:t>督导队伍</w:t>
            </w:r>
            <w:r>
              <w:rPr>
                <w:rFonts w:hint="default" w:ascii="Times New Roman" w:hAnsi="Times New Roman" w:eastAsia="方正仿宋_GB2312" w:cs="Times New Roman"/>
                <w:color w:val="auto"/>
                <w:kern w:val="2"/>
                <w:sz w:val="24"/>
                <w:szCs w:val="32"/>
                <w:lang w:val="en-US" w:eastAsia="zh-CN"/>
              </w:rPr>
              <w:t>及</w:t>
            </w:r>
            <w:r>
              <w:rPr>
                <w:rFonts w:hint="default" w:ascii="Times New Roman" w:hAnsi="Times New Roman" w:eastAsia="方正仿宋_GB2312" w:cs="Times New Roman"/>
                <w:color w:val="auto"/>
                <w:kern w:val="2"/>
                <w:sz w:val="24"/>
                <w:szCs w:val="32"/>
              </w:rPr>
              <w:t>日常教学工作</w:t>
            </w:r>
            <w:r>
              <w:rPr>
                <w:rFonts w:hint="default" w:ascii="Times New Roman" w:hAnsi="Times New Roman" w:eastAsia="方正仿宋_GB2312" w:cs="Times New Roman"/>
                <w:color w:val="auto"/>
                <w:kern w:val="2"/>
                <w:sz w:val="24"/>
                <w:szCs w:val="32"/>
                <w:lang w:val="en-US" w:eastAsia="zh-CN"/>
              </w:rPr>
              <w:t>开展</w:t>
            </w:r>
            <w:r>
              <w:rPr>
                <w:rFonts w:hint="default" w:ascii="Times New Roman" w:hAnsi="Times New Roman" w:eastAsia="方正仿宋_GB2312" w:cs="Times New Roman"/>
                <w:color w:val="auto"/>
                <w:kern w:val="2"/>
                <w:sz w:val="24"/>
                <w:szCs w:val="32"/>
              </w:rPr>
              <w:t>检查、监督和指导等</w:t>
            </w:r>
            <w:r>
              <w:rPr>
                <w:rFonts w:hint="default" w:ascii="Times New Roman" w:hAnsi="Times New Roman" w:eastAsia="方正仿宋_GB2312" w:cs="Times New Roman"/>
                <w:color w:val="auto"/>
                <w:kern w:val="2"/>
                <w:sz w:val="24"/>
                <w:szCs w:val="32"/>
                <w:lang w:val="en-US" w:eastAsia="zh-CN"/>
              </w:rPr>
              <w:t>情况汇总；</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微软雅黑" w:cs="Times New Roman"/>
                <w:color w:val="auto"/>
                <w:kern w:val="2"/>
                <w:sz w:val="24"/>
                <w:szCs w:val="32"/>
              </w:rPr>
              <w:t>⑤</w:t>
            </w:r>
            <w:r>
              <w:rPr>
                <w:rFonts w:hint="default" w:ascii="Times New Roman" w:hAnsi="Times New Roman" w:eastAsia="方正仿宋_GB2312" w:cs="Times New Roman"/>
                <w:color w:val="auto"/>
                <w:kern w:val="2"/>
                <w:sz w:val="24"/>
                <w:szCs w:val="32"/>
              </w:rPr>
              <w:t>学校严格考试管理、端正考纪考风方面的材料等</w:t>
            </w:r>
            <w:r>
              <w:rPr>
                <w:rFonts w:hint="default" w:ascii="Times New Roman" w:hAnsi="Times New Roman" w:eastAsia="方正仿宋_GB2312" w:cs="Times New Roman"/>
                <w:color w:val="auto"/>
                <w:kern w:val="2"/>
                <w:sz w:val="24"/>
                <w:szCs w:val="32"/>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286" w:type="pct"/>
            <w:vMerge w:val="continue"/>
            <w:vAlign w:val="center"/>
          </w:tcPr>
          <w:p>
            <w:pPr>
              <w:spacing w:line="300" w:lineRule="exact"/>
              <w:ind w:left="0"/>
              <w:jc w:val="left"/>
              <w:textAlignment w:val="auto"/>
              <w:rPr>
                <w:rFonts w:hint="default" w:ascii="Times New Roman" w:hAnsi="Times New Roman" w:eastAsia="方正仿宋_GB2312" w:cs="Times New Roman"/>
                <w:color w:val="auto"/>
                <w:kern w:val="2"/>
                <w:sz w:val="24"/>
                <w:szCs w:val="32"/>
              </w:rPr>
            </w:pPr>
          </w:p>
        </w:tc>
        <w:tc>
          <w:tcPr>
            <w:tcW w:w="553"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1460" w:type="pct"/>
            <w:gridSpan w:val="2"/>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6.1.2 加强考试管理、严肃考试纪律、完善过程性考核与结果性考核有机结合的学业考评制度、严把考试和毕业出口关的情况</w:t>
            </w:r>
          </w:p>
        </w:tc>
        <w:tc>
          <w:tcPr>
            <w:tcW w:w="41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教务处（牵头）、学生处</w:t>
            </w:r>
          </w:p>
        </w:tc>
        <w:tc>
          <w:tcPr>
            <w:tcW w:w="133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286" w:type="pct"/>
            <w:vMerge w:val="continue"/>
            <w:vAlign w:val="center"/>
          </w:tcPr>
          <w:p>
            <w:pPr>
              <w:spacing w:line="300" w:lineRule="exact"/>
              <w:ind w:left="0"/>
              <w:jc w:val="left"/>
              <w:textAlignment w:val="auto"/>
              <w:rPr>
                <w:rFonts w:hint="default" w:ascii="Times New Roman" w:hAnsi="Times New Roman" w:eastAsia="方正仿宋_GB2312" w:cs="Times New Roman"/>
                <w:color w:val="auto"/>
                <w:kern w:val="2"/>
                <w:sz w:val="24"/>
                <w:szCs w:val="32"/>
              </w:rPr>
            </w:pPr>
          </w:p>
        </w:tc>
        <w:tc>
          <w:tcPr>
            <w:tcW w:w="553" w:type="pct"/>
            <w:vMerge w:val="restar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6.2质量改进</w:t>
            </w:r>
          </w:p>
        </w:tc>
        <w:tc>
          <w:tcPr>
            <w:tcW w:w="1460" w:type="pct"/>
            <w:gridSpan w:val="2"/>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6.2.1 学校内部质量评估制度的建立及接受外部评估（含院校评估、专业认证等）情况</w:t>
            </w:r>
          </w:p>
        </w:tc>
        <w:tc>
          <w:tcPr>
            <w:tcW w:w="41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教务处（牵头）、发规处</w:t>
            </w:r>
          </w:p>
        </w:tc>
        <w:tc>
          <w:tcPr>
            <w:tcW w:w="1337" w:type="pct"/>
            <w:vMerge w:val="restar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①学校制订的质量改进制度文件；</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②学校开展自评估，包括评教、评学以及二级学院教学工作评估、专业评估、课程评估等相关资料；</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③学校接受院校评估、第三方评估、专业认证材料；</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④质量改进及对纠正与改进措施的有效性评价的有关资料。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286" w:type="pct"/>
            <w:vMerge w:val="continue"/>
            <w:vAlign w:val="center"/>
          </w:tcPr>
          <w:p>
            <w:pPr>
              <w:spacing w:line="300" w:lineRule="exact"/>
              <w:ind w:left="0"/>
              <w:jc w:val="left"/>
              <w:textAlignment w:val="auto"/>
              <w:rPr>
                <w:rFonts w:hint="default" w:ascii="Times New Roman" w:hAnsi="Times New Roman" w:eastAsia="方正仿宋_GB2312" w:cs="Times New Roman"/>
                <w:color w:val="auto"/>
                <w:kern w:val="2"/>
                <w:sz w:val="24"/>
                <w:szCs w:val="32"/>
              </w:rPr>
            </w:pPr>
          </w:p>
        </w:tc>
        <w:tc>
          <w:tcPr>
            <w:tcW w:w="553"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1460" w:type="pct"/>
            <w:gridSpan w:val="2"/>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6.2.2</w:t>
            </w:r>
            <w:r>
              <w:rPr>
                <w:rFonts w:hint="default" w:ascii="Times New Roman" w:hAnsi="Times New Roman" w:eastAsia="方正仿宋_GB2312" w:cs="Times New Roman"/>
                <w:color w:val="auto"/>
                <w:kern w:val="2"/>
                <w:sz w:val="24"/>
                <w:szCs w:val="32"/>
                <w:lang w:val="en-US" w:eastAsia="zh-CN"/>
              </w:rPr>
              <w:t xml:space="preserve"> </w:t>
            </w:r>
            <w:r>
              <w:rPr>
                <w:rFonts w:hint="default" w:ascii="Times New Roman" w:hAnsi="Times New Roman" w:eastAsia="方正仿宋_GB2312" w:cs="Times New Roman"/>
                <w:color w:val="auto"/>
                <w:kern w:val="2"/>
                <w:sz w:val="24"/>
                <w:szCs w:val="32"/>
              </w:rPr>
              <w:t>质量持续改进机制建设与改进效果</w:t>
            </w:r>
          </w:p>
        </w:tc>
        <w:tc>
          <w:tcPr>
            <w:tcW w:w="41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教务处（牵头）、发规处</w:t>
            </w:r>
          </w:p>
        </w:tc>
        <w:tc>
          <w:tcPr>
            <w:tcW w:w="133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286" w:type="pct"/>
            <w:vMerge w:val="continue"/>
            <w:vAlign w:val="center"/>
          </w:tcPr>
          <w:p>
            <w:pPr>
              <w:spacing w:line="300" w:lineRule="exact"/>
              <w:ind w:left="0"/>
              <w:jc w:val="left"/>
              <w:textAlignment w:val="auto"/>
              <w:rPr>
                <w:rFonts w:hint="default" w:ascii="Times New Roman" w:hAnsi="Times New Roman" w:eastAsia="方正仿宋_GB2312" w:cs="Times New Roman"/>
                <w:color w:val="auto"/>
                <w:kern w:val="2"/>
                <w:sz w:val="24"/>
                <w:szCs w:val="32"/>
              </w:rPr>
            </w:pPr>
          </w:p>
        </w:tc>
        <w:tc>
          <w:tcPr>
            <w:tcW w:w="553" w:type="pct"/>
            <w:vMerge w:val="restar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6.3质量文化</w:t>
            </w:r>
          </w:p>
        </w:tc>
        <w:tc>
          <w:tcPr>
            <w:tcW w:w="1460" w:type="pct"/>
            <w:gridSpan w:val="2"/>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6.3.1 自觉、自省、自律、自查、自纠的质量文化建设情况</w:t>
            </w:r>
          </w:p>
        </w:tc>
        <w:tc>
          <w:tcPr>
            <w:tcW w:w="41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发规处（牵头）、教务处</w:t>
            </w:r>
          </w:p>
        </w:tc>
        <w:tc>
          <w:tcPr>
            <w:tcW w:w="1337" w:type="pct"/>
            <w:vMerge w:val="restar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lang w:eastAsia="zh-CN"/>
              </w:rPr>
            </w:pPr>
            <w:r>
              <w:rPr>
                <w:rFonts w:hint="default" w:ascii="Times New Roman" w:hAnsi="Times New Roman" w:eastAsia="方正仿宋_GB2312" w:cs="Times New Roman"/>
                <w:color w:val="auto"/>
                <w:kern w:val="2"/>
                <w:sz w:val="24"/>
                <w:szCs w:val="32"/>
              </w:rPr>
              <w:t>①学校制订的加强质量文化建设的制度文件</w:t>
            </w:r>
            <w:r>
              <w:rPr>
                <w:rFonts w:hint="default" w:ascii="Times New Roman" w:hAnsi="Times New Roman" w:eastAsia="方正仿宋_GB2312" w:cs="Times New Roman"/>
                <w:color w:val="auto"/>
                <w:kern w:val="2"/>
                <w:sz w:val="24"/>
                <w:szCs w:val="32"/>
                <w:lang w:eastAsia="zh-CN"/>
              </w:rPr>
              <w:t>；</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②学校近三年发布的《本科教学质量报告》；</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微软雅黑" w:cs="Times New Roman"/>
                <w:color w:val="auto"/>
                <w:kern w:val="2"/>
                <w:sz w:val="24"/>
                <w:szCs w:val="32"/>
              </w:rPr>
              <w:t>③</w:t>
            </w:r>
            <w:r>
              <w:rPr>
                <w:rFonts w:hint="default" w:ascii="Times New Roman" w:hAnsi="Times New Roman" w:eastAsia="方正仿宋_GB2312" w:cs="Times New Roman"/>
                <w:color w:val="auto"/>
                <w:kern w:val="2"/>
                <w:sz w:val="24"/>
                <w:szCs w:val="32"/>
              </w:rPr>
              <w:t>学校在质量文化建设方面的宣传、报道材料等；</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lang w:eastAsia="zh-CN"/>
              </w:rPr>
            </w:pPr>
            <w:r>
              <w:rPr>
                <w:rFonts w:hint="default" w:ascii="Times New Roman" w:hAnsi="Times New Roman" w:eastAsia="微软雅黑" w:cs="Times New Roman"/>
                <w:color w:val="auto"/>
                <w:kern w:val="2"/>
                <w:sz w:val="24"/>
                <w:szCs w:val="32"/>
              </w:rPr>
              <w:t>④</w:t>
            </w:r>
            <w:r>
              <w:rPr>
                <w:rFonts w:hint="default" w:ascii="Times New Roman" w:hAnsi="Times New Roman" w:eastAsia="方正仿宋_GB2312" w:cs="Times New Roman"/>
                <w:color w:val="auto"/>
                <w:kern w:val="2"/>
                <w:sz w:val="24"/>
                <w:szCs w:val="32"/>
              </w:rPr>
              <w:t>培养目标、毕业要求、课程教学大纲公开的载体、过程记录及体现宣贯成效的证明材料</w:t>
            </w:r>
            <w:r>
              <w:rPr>
                <w:rFonts w:hint="default" w:ascii="Times New Roman" w:hAnsi="Times New Roman" w:eastAsia="方正仿宋_GB2312" w:cs="Times New Roman"/>
                <w:color w:val="auto"/>
                <w:kern w:val="2"/>
                <w:sz w:val="24"/>
                <w:szCs w:val="32"/>
                <w:lang w:eastAsia="zh-CN"/>
              </w:rPr>
              <w:t>；</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lang w:eastAsia="zh-CN"/>
              </w:rPr>
            </w:pPr>
            <w:r>
              <w:rPr>
                <w:rFonts w:hint="default" w:ascii="Times New Roman" w:hAnsi="Times New Roman" w:eastAsia="微软雅黑" w:cs="Times New Roman"/>
                <w:color w:val="auto"/>
                <w:kern w:val="2"/>
                <w:sz w:val="24"/>
                <w:szCs w:val="32"/>
              </w:rPr>
              <w:t>⑤</w:t>
            </w:r>
            <w:r>
              <w:rPr>
                <w:rFonts w:hint="default" w:ascii="Times New Roman" w:hAnsi="Times New Roman" w:eastAsia="方正仿宋_GB2312" w:cs="Times New Roman"/>
                <w:color w:val="auto"/>
                <w:kern w:val="2"/>
                <w:sz w:val="24"/>
                <w:szCs w:val="32"/>
              </w:rPr>
              <w:t>质量信息公开制度</w:t>
            </w:r>
            <w:r>
              <w:rPr>
                <w:rFonts w:hint="default" w:ascii="Times New Roman" w:hAnsi="Times New Roman" w:eastAsia="方正仿宋_GB2312" w:cs="Times New Roman"/>
                <w:color w:val="auto"/>
                <w:kern w:val="2"/>
                <w:sz w:val="24"/>
                <w:szCs w:val="32"/>
                <w:lang w:eastAsia="zh-CN"/>
              </w:rPr>
              <w:t>；</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微软雅黑" w:cs="Times New Roman"/>
                <w:color w:val="auto"/>
                <w:kern w:val="2"/>
                <w:sz w:val="24"/>
                <w:szCs w:val="32"/>
              </w:rPr>
              <w:t>⑥</w:t>
            </w:r>
            <w:r>
              <w:rPr>
                <w:rFonts w:hint="default" w:ascii="Times New Roman" w:hAnsi="Times New Roman" w:eastAsia="方正仿宋_GB2312" w:cs="Times New Roman"/>
                <w:color w:val="auto"/>
                <w:kern w:val="2"/>
                <w:sz w:val="24"/>
                <w:szCs w:val="32"/>
              </w:rPr>
              <w:t>学校近三年发布的《就业质量年度报告》。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286" w:type="pct"/>
            <w:vMerge w:val="continue"/>
            <w:vAlign w:val="center"/>
          </w:tcPr>
          <w:p>
            <w:pPr>
              <w:spacing w:line="300" w:lineRule="exact"/>
              <w:ind w:left="0"/>
              <w:jc w:val="left"/>
              <w:textAlignment w:val="auto"/>
              <w:rPr>
                <w:rFonts w:hint="default" w:ascii="Times New Roman" w:hAnsi="Times New Roman" w:eastAsia="方正仿宋_GB2312" w:cs="Times New Roman"/>
                <w:color w:val="auto"/>
                <w:kern w:val="2"/>
                <w:sz w:val="24"/>
                <w:szCs w:val="32"/>
              </w:rPr>
            </w:pPr>
          </w:p>
        </w:tc>
        <w:tc>
          <w:tcPr>
            <w:tcW w:w="553"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1460" w:type="pct"/>
            <w:gridSpan w:val="2"/>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6.3.2</w:t>
            </w:r>
            <w:r>
              <w:rPr>
                <w:rFonts w:hint="default" w:ascii="Times New Roman" w:hAnsi="Times New Roman" w:eastAsia="方正仿宋_GB2312" w:cs="Times New Roman"/>
                <w:color w:val="auto"/>
                <w:kern w:val="2"/>
                <w:sz w:val="24"/>
                <w:szCs w:val="32"/>
                <w:lang w:val="en-US" w:eastAsia="zh-CN"/>
              </w:rPr>
              <w:t xml:space="preserve"> </w:t>
            </w:r>
            <w:r>
              <w:rPr>
                <w:rFonts w:hint="default" w:ascii="Times New Roman" w:hAnsi="Times New Roman" w:eastAsia="方正仿宋_GB2312" w:cs="Times New Roman"/>
                <w:color w:val="auto"/>
                <w:kern w:val="2"/>
                <w:sz w:val="24"/>
                <w:szCs w:val="32"/>
              </w:rPr>
              <w:t>质量信息公开制度及年度质量报告</w:t>
            </w:r>
          </w:p>
        </w:tc>
        <w:tc>
          <w:tcPr>
            <w:tcW w:w="41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发规处（牵头）、办公室、教务处、人事处、学生处、财务处、团委、国资处、现代技术中心</w:t>
            </w:r>
          </w:p>
        </w:tc>
        <w:tc>
          <w:tcPr>
            <w:tcW w:w="133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86" w:type="pct"/>
            <w:vMerge w:val="restart"/>
            <w:vAlign w:val="center"/>
          </w:tcPr>
          <w:p>
            <w:pPr>
              <w:spacing w:line="300" w:lineRule="exact"/>
              <w:ind w:left="0"/>
              <w:jc w:val="left"/>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7.教学成效</w:t>
            </w:r>
          </w:p>
        </w:tc>
        <w:tc>
          <w:tcPr>
            <w:tcW w:w="553" w:type="pct"/>
            <w:vMerge w:val="restar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7.1达成度</w:t>
            </w:r>
          </w:p>
        </w:tc>
        <w:tc>
          <w:tcPr>
            <w:tcW w:w="1460" w:type="pct"/>
            <w:gridSpan w:val="2"/>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7.1.1 学校各专业人才培养目标的达成情况</w:t>
            </w:r>
          </w:p>
        </w:tc>
        <w:tc>
          <w:tcPr>
            <w:tcW w:w="417" w:type="pct"/>
            <w:vMerge w:val="restar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分管教学工作的副校长</w:t>
            </w:r>
          </w:p>
        </w:tc>
        <w:tc>
          <w:tcPr>
            <w:tcW w:w="369" w:type="pct"/>
            <w:vMerge w:val="restar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教务处</w:t>
            </w:r>
          </w:p>
        </w:tc>
        <w:tc>
          <w:tcPr>
            <w:tcW w:w="57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教务处</w:t>
            </w:r>
          </w:p>
        </w:tc>
        <w:tc>
          <w:tcPr>
            <w:tcW w:w="1337" w:type="pct"/>
            <w:vMerge w:val="restar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lang w:eastAsia="zh-CN"/>
              </w:rPr>
            </w:pPr>
            <w:r>
              <w:rPr>
                <w:rFonts w:hint="default" w:ascii="Times New Roman" w:hAnsi="Times New Roman" w:eastAsia="方正仿宋_GB2312" w:cs="Times New Roman"/>
                <w:color w:val="auto"/>
                <w:kern w:val="2"/>
                <w:sz w:val="24"/>
                <w:szCs w:val="32"/>
              </w:rPr>
              <w:t>①学校各专业人才培养目标的达成情况报告</w:t>
            </w:r>
            <w:r>
              <w:rPr>
                <w:rFonts w:hint="default" w:ascii="Times New Roman" w:hAnsi="Times New Roman" w:eastAsia="方正仿宋_GB2312" w:cs="Times New Roman"/>
                <w:color w:val="auto"/>
                <w:kern w:val="2"/>
                <w:sz w:val="24"/>
                <w:szCs w:val="32"/>
                <w:lang w:eastAsia="zh-CN"/>
              </w:rPr>
              <w:t>；</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②学校对毕业生质量持续跟踪评价的制度文件；</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lang w:eastAsia="zh-CN"/>
              </w:rPr>
            </w:pPr>
            <w:r>
              <w:rPr>
                <w:rFonts w:hint="default" w:ascii="Times New Roman" w:hAnsi="Times New Roman" w:eastAsia="微软雅黑" w:cs="Times New Roman"/>
                <w:color w:val="auto"/>
                <w:kern w:val="2"/>
                <w:sz w:val="24"/>
                <w:szCs w:val="32"/>
              </w:rPr>
              <w:t>③</w:t>
            </w:r>
            <w:r>
              <w:rPr>
                <w:rFonts w:hint="default" w:ascii="Times New Roman" w:hAnsi="Times New Roman" w:eastAsia="方正仿宋_GB2312" w:cs="Times New Roman"/>
                <w:color w:val="auto"/>
                <w:kern w:val="2"/>
                <w:sz w:val="24"/>
                <w:szCs w:val="32"/>
              </w:rPr>
              <w:t>对毕业生职业发展、用人单位以及相关各方的跟踪调查资料等</w:t>
            </w:r>
            <w:r>
              <w:rPr>
                <w:rFonts w:hint="default" w:ascii="Times New Roman" w:hAnsi="Times New Roman" w:eastAsia="方正仿宋_GB2312" w:cs="Times New Roman"/>
                <w:color w:val="auto"/>
                <w:kern w:val="2"/>
                <w:sz w:val="24"/>
                <w:szCs w:val="32"/>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 w:hRule="atLeast"/>
          <w:jc w:val="center"/>
        </w:trPr>
        <w:tc>
          <w:tcPr>
            <w:tcW w:w="286" w:type="pct"/>
            <w:vMerge w:val="continue"/>
            <w:vAlign w:val="center"/>
          </w:tcPr>
          <w:p>
            <w:pPr>
              <w:spacing w:line="300" w:lineRule="exact"/>
              <w:ind w:left="0"/>
              <w:jc w:val="left"/>
              <w:textAlignment w:val="auto"/>
              <w:rPr>
                <w:rFonts w:hint="default" w:ascii="Times New Roman" w:hAnsi="Times New Roman" w:eastAsia="等线" w:cs="Times New Roman"/>
                <w:color w:val="auto"/>
                <w:kern w:val="0"/>
                <w:sz w:val="24"/>
                <w:szCs w:val="21"/>
              </w:rPr>
            </w:pPr>
          </w:p>
        </w:tc>
        <w:tc>
          <w:tcPr>
            <w:tcW w:w="553"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1460" w:type="pct"/>
            <w:gridSpan w:val="2"/>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7.1.2 毕业生质量持续跟踪评价机制建立情况及跟踪评价结果</w:t>
            </w:r>
          </w:p>
        </w:tc>
        <w:tc>
          <w:tcPr>
            <w:tcW w:w="41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学生处（牵头）、教务处、社会合作处</w:t>
            </w:r>
          </w:p>
        </w:tc>
        <w:tc>
          <w:tcPr>
            <w:tcW w:w="133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 w:hRule="atLeast"/>
          <w:jc w:val="center"/>
        </w:trPr>
        <w:tc>
          <w:tcPr>
            <w:tcW w:w="286" w:type="pct"/>
            <w:vMerge w:val="continue"/>
            <w:vAlign w:val="center"/>
          </w:tcPr>
          <w:p>
            <w:pPr>
              <w:spacing w:line="300" w:lineRule="exact"/>
              <w:ind w:left="0"/>
              <w:jc w:val="left"/>
              <w:textAlignment w:val="auto"/>
              <w:rPr>
                <w:rFonts w:hint="default" w:ascii="Times New Roman" w:hAnsi="Times New Roman" w:eastAsia="等线" w:cs="Times New Roman"/>
                <w:color w:val="auto"/>
                <w:kern w:val="0"/>
                <w:sz w:val="24"/>
                <w:szCs w:val="21"/>
              </w:rPr>
            </w:pPr>
          </w:p>
        </w:tc>
        <w:tc>
          <w:tcPr>
            <w:tcW w:w="553" w:type="pct"/>
            <w:vMerge w:val="restar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7.2适应度</w:t>
            </w:r>
          </w:p>
        </w:tc>
        <w:tc>
          <w:tcPr>
            <w:tcW w:w="1460" w:type="pct"/>
            <w:gridSpan w:val="2"/>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7.2.1 学校本科生源状况</w:t>
            </w:r>
          </w:p>
        </w:tc>
        <w:tc>
          <w:tcPr>
            <w:tcW w:w="41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教务处</w:t>
            </w:r>
          </w:p>
        </w:tc>
        <w:tc>
          <w:tcPr>
            <w:tcW w:w="1337" w:type="pct"/>
            <w:vMerge w:val="restar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lang w:eastAsia="zh-CN"/>
              </w:rPr>
            </w:pPr>
            <w:r>
              <w:rPr>
                <w:rFonts w:hint="default" w:ascii="Times New Roman" w:hAnsi="Times New Roman" w:eastAsia="方正仿宋_GB2312" w:cs="Times New Roman"/>
                <w:color w:val="auto"/>
                <w:kern w:val="2"/>
                <w:sz w:val="24"/>
                <w:szCs w:val="32"/>
              </w:rPr>
              <w:t>①学校近三年本科生生源质量分析报告</w:t>
            </w:r>
            <w:r>
              <w:rPr>
                <w:rFonts w:hint="default" w:ascii="Times New Roman" w:hAnsi="Times New Roman" w:eastAsia="方正仿宋_GB2312" w:cs="Times New Roman"/>
                <w:color w:val="auto"/>
                <w:kern w:val="2"/>
                <w:sz w:val="24"/>
                <w:szCs w:val="32"/>
                <w:lang w:eastAsia="zh-CN"/>
              </w:rPr>
              <w:t>；</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②学校近三年本科生毕业质量分析报告；</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③毕业生升学率（含国内与国外）统计表、应届本科生初次就业率及结构统计表。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0" w:hRule="atLeast"/>
          <w:jc w:val="center"/>
        </w:trPr>
        <w:tc>
          <w:tcPr>
            <w:tcW w:w="286" w:type="pct"/>
            <w:vMerge w:val="continue"/>
            <w:vAlign w:val="center"/>
          </w:tcPr>
          <w:p>
            <w:pPr>
              <w:spacing w:line="300" w:lineRule="exact"/>
              <w:ind w:left="0"/>
              <w:jc w:val="left"/>
              <w:textAlignment w:val="auto"/>
              <w:rPr>
                <w:rFonts w:hint="default" w:ascii="Times New Roman" w:hAnsi="Times New Roman" w:eastAsia="等线" w:cs="Times New Roman"/>
                <w:color w:val="auto"/>
                <w:kern w:val="0"/>
                <w:sz w:val="24"/>
                <w:szCs w:val="21"/>
              </w:rPr>
            </w:pPr>
          </w:p>
        </w:tc>
        <w:tc>
          <w:tcPr>
            <w:tcW w:w="553"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4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B 7.2.2</w:t>
            </w:r>
          </w:p>
        </w:tc>
        <w:tc>
          <w:tcPr>
            <w:tcW w:w="1116"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B2 毕业生面向学校所服务的区域和行业企业就业情况、就业质量及职业发展情况</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【可选】升学率（含国内与国外）</w:t>
            </w:r>
          </w:p>
          <w:p>
            <w:pPr>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【可选】应届本科生初次就业率及结构</w:t>
            </w:r>
          </w:p>
        </w:tc>
        <w:tc>
          <w:tcPr>
            <w:tcW w:w="417" w:type="pct"/>
            <w:vMerge w:val="continue"/>
            <w:vAlign w:val="center"/>
          </w:tcPr>
          <w:p>
            <w:pPr>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Align w:val="center"/>
          </w:tcPr>
          <w:p>
            <w:pPr>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学生处</w:t>
            </w:r>
          </w:p>
        </w:tc>
        <w:tc>
          <w:tcPr>
            <w:tcW w:w="1337" w:type="pct"/>
            <w:vMerge w:val="continue"/>
            <w:vAlign w:val="center"/>
          </w:tcPr>
          <w:p>
            <w:pPr>
              <w:spacing w:line="300" w:lineRule="exact"/>
              <w:ind w:left="0"/>
              <w:jc w:val="both"/>
              <w:textAlignment w:val="auto"/>
              <w:rPr>
                <w:rFonts w:hint="default" w:ascii="Times New Roman" w:hAnsi="Times New Roman" w:eastAsia="方正仿宋_GB2312" w:cs="Times New Roman"/>
                <w:color w:val="auto"/>
                <w:kern w:val="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286" w:type="pct"/>
            <w:vMerge w:val="continue"/>
            <w:vAlign w:val="center"/>
          </w:tcPr>
          <w:p>
            <w:pPr>
              <w:spacing w:line="300" w:lineRule="exact"/>
              <w:ind w:left="0"/>
              <w:jc w:val="left"/>
              <w:textAlignment w:val="auto"/>
              <w:rPr>
                <w:rFonts w:hint="default" w:ascii="Times New Roman" w:hAnsi="Times New Roman" w:eastAsia="等线" w:cs="Times New Roman"/>
                <w:color w:val="auto"/>
                <w:kern w:val="0"/>
                <w:sz w:val="24"/>
                <w:szCs w:val="21"/>
              </w:rPr>
            </w:pPr>
          </w:p>
        </w:tc>
        <w:tc>
          <w:tcPr>
            <w:tcW w:w="553" w:type="pct"/>
            <w:vMerge w:val="restar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7.3保障度</w:t>
            </w:r>
          </w:p>
        </w:tc>
        <w:tc>
          <w:tcPr>
            <w:tcW w:w="1460" w:type="pct"/>
            <w:gridSpan w:val="2"/>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7.3.1 教学经费以及教室、实验室、图书馆、体育场馆、艺术场馆等资源条件满足教学需要情况</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【必选】生均本科实验经费（元）</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【必选】生均本科实习经费（元）</w:t>
            </w:r>
          </w:p>
        </w:tc>
        <w:tc>
          <w:tcPr>
            <w:tcW w:w="41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教务处（牵头）、财务处、国资处、后保处、管委会、现代技术中心、图书馆</w:t>
            </w:r>
          </w:p>
        </w:tc>
        <w:tc>
          <w:tcPr>
            <w:tcW w:w="1337" w:type="pct"/>
            <w:vMerge w:val="restar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①学校教学经费统计表；</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②生均本科实验经费统计表；</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lang w:eastAsia="zh-CN"/>
              </w:rPr>
            </w:pPr>
            <w:r>
              <w:rPr>
                <w:rFonts w:hint="default" w:ascii="Times New Roman" w:hAnsi="Times New Roman" w:eastAsia="方正仿宋_GB2312" w:cs="Times New Roman"/>
                <w:color w:val="auto"/>
                <w:kern w:val="2"/>
                <w:sz w:val="24"/>
                <w:szCs w:val="32"/>
              </w:rPr>
              <w:t>③生均本科实习经费统计表</w:t>
            </w:r>
            <w:r>
              <w:rPr>
                <w:rFonts w:hint="default" w:ascii="Times New Roman" w:hAnsi="Times New Roman" w:eastAsia="方正仿宋_GB2312" w:cs="Times New Roman"/>
                <w:color w:val="auto"/>
                <w:kern w:val="2"/>
                <w:sz w:val="24"/>
                <w:szCs w:val="32"/>
                <w:lang w:eastAsia="zh-CN"/>
              </w:rPr>
              <w:t>；</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lang w:eastAsia="zh-CN"/>
              </w:rPr>
            </w:pPr>
            <w:r>
              <w:rPr>
                <w:rFonts w:hint="default" w:ascii="Times New Roman" w:hAnsi="Times New Roman" w:eastAsia="微软雅黑" w:cs="Times New Roman"/>
                <w:color w:val="auto"/>
                <w:kern w:val="2"/>
                <w:sz w:val="24"/>
                <w:szCs w:val="32"/>
              </w:rPr>
              <w:t>④</w:t>
            </w:r>
            <w:r>
              <w:rPr>
                <w:rFonts w:hint="default" w:ascii="Times New Roman" w:hAnsi="Times New Roman" w:eastAsia="方正仿宋_GB2312" w:cs="Times New Roman"/>
                <w:color w:val="auto"/>
                <w:kern w:val="2"/>
                <w:sz w:val="24"/>
                <w:szCs w:val="32"/>
              </w:rPr>
              <w:t>图书馆资源条件满足教学需要情况材料</w:t>
            </w:r>
            <w:r>
              <w:rPr>
                <w:rFonts w:hint="default" w:ascii="Times New Roman" w:hAnsi="Times New Roman" w:eastAsia="方正仿宋_GB2312" w:cs="Times New Roman"/>
                <w:color w:val="auto"/>
                <w:kern w:val="2"/>
                <w:sz w:val="24"/>
                <w:szCs w:val="32"/>
                <w:lang w:eastAsia="zh-CN"/>
              </w:rPr>
              <w:t>；</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lang w:eastAsia="zh-CN"/>
              </w:rPr>
            </w:pPr>
            <w:r>
              <w:rPr>
                <w:rFonts w:hint="default" w:ascii="Times New Roman" w:hAnsi="Times New Roman" w:eastAsia="微软雅黑" w:cs="Times New Roman"/>
                <w:color w:val="auto"/>
                <w:kern w:val="2"/>
                <w:sz w:val="24"/>
                <w:szCs w:val="32"/>
              </w:rPr>
              <w:t>⑤</w:t>
            </w:r>
            <w:r>
              <w:rPr>
                <w:rFonts w:hint="default" w:ascii="Times New Roman" w:hAnsi="Times New Roman" w:eastAsia="方正仿宋_GB2312" w:cs="Times New Roman"/>
                <w:color w:val="auto"/>
                <w:kern w:val="2"/>
                <w:sz w:val="24"/>
                <w:szCs w:val="32"/>
              </w:rPr>
              <w:t>体育场馆资源条件满足教学需要情况材料</w:t>
            </w:r>
            <w:r>
              <w:rPr>
                <w:rFonts w:hint="default" w:ascii="Times New Roman" w:hAnsi="Times New Roman" w:eastAsia="方正仿宋_GB2312" w:cs="Times New Roman"/>
                <w:color w:val="auto"/>
                <w:kern w:val="2"/>
                <w:sz w:val="24"/>
                <w:szCs w:val="32"/>
                <w:lang w:eastAsia="zh-CN"/>
              </w:rPr>
              <w:t>；</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lang w:eastAsia="zh-CN"/>
              </w:rPr>
            </w:pPr>
            <w:r>
              <w:rPr>
                <w:rFonts w:hint="default" w:ascii="Times New Roman" w:hAnsi="Times New Roman" w:eastAsia="微软雅黑" w:cs="Times New Roman"/>
                <w:color w:val="auto"/>
                <w:kern w:val="2"/>
                <w:sz w:val="24"/>
                <w:szCs w:val="32"/>
              </w:rPr>
              <w:t>⑥</w:t>
            </w:r>
            <w:r>
              <w:rPr>
                <w:rFonts w:hint="default" w:ascii="Times New Roman" w:hAnsi="Times New Roman" w:eastAsia="方正仿宋_GB2312" w:cs="Times New Roman"/>
                <w:color w:val="auto"/>
                <w:kern w:val="2"/>
                <w:sz w:val="24"/>
                <w:szCs w:val="32"/>
              </w:rPr>
              <w:t>艺术场馆资源条件满足教学需要情况材料</w:t>
            </w:r>
            <w:r>
              <w:rPr>
                <w:rFonts w:hint="default" w:ascii="Times New Roman" w:hAnsi="Times New Roman" w:eastAsia="方正仿宋_GB2312" w:cs="Times New Roman"/>
                <w:color w:val="auto"/>
                <w:kern w:val="2"/>
                <w:sz w:val="24"/>
                <w:szCs w:val="32"/>
                <w:lang w:eastAsia="zh-CN"/>
              </w:rPr>
              <w:t>；</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微软雅黑" w:cs="Times New Roman"/>
                <w:color w:val="auto"/>
                <w:kern w:val="2"/>
                <w:sz w:val="24"/>
                <w:szCs w:val="32"/>
              </w:rPr>
              <w:t>⑦</w:t>
            </w:r>
            <w:r>
              <w:rPr>
                <w:rFonts w:hint="default" w:ascii="Times New Roman" w:hAnsi="Times New Roman" w:eastAsia="方正仿宋_GB2312" w:cs="Times New Roman"/>
                <w:color w:val="auto"/>
                <w:kern w:val="2"/>
                <w:sz w:val="24"/>
                <w:szCs w:val="32"/>
              </w:rPr>
              <w:t>教师名册；</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微软雅黑" w:cs="Times New Roman"/>
                <w:color w:val="auto"/>
                <w:kern w:val="2"/>
                <w:sz w:val="24"/>
                <w:szCs w:val="32"/>
              </w:rPr>
              <w:t>⑧</w:t>
            </w:r>
            <w:r>
              <w:rPr>
                <w:rFonts w:hint="default" w:ascii="Times New Roman" w:hAnsi="Times New Roman" w:eastAsia="方正仿宋_GB2312" w:cs="Times New Roman"/>
                <w:color w:val="auto"/>
                <w:kern w:val="2"/>
                <w:sz w:val="24"/>
                <w:szCs w:val="32"/>
              </w:rPr>
              <w:t>生师比统计表；</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微软雅黑" w:cs="Times New Roman"/>
                <w:color w:val="auto"/>
                <w:kern w:val="2"/>
                <w:sz w:val="24"/>
                <w:szCs w:val="32"/>
              </w:rPr>
              <w:t>⑨</w:t>
            </w:r>
            <w:r>
              <w:rPr>
                <w:rFonts w:hint="default" w:ascii="Times New Roman" w:hAnsi="Times New Roman" w:eastAsia="方正仿宋_GB2312" w:cs="Times New Roman"/>
                <w:color w:val="auto"/>
                <w:kern w:val="2"/>
                <w:sz w:val="24"/>
                <w:szCs w:val="32"/>
              </w:rPr>
              <w:t>具有硕士学位、博士学位教师占专任教师比例统计表。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286" w:type="pct"/>
            <w:vMerge w:val="continue"/>
            <w:vAlign w:val="center"/>
          </w:tcPr>
          <w:p>
            <w:pPr>
              <w:spacing w:line="300" w:lineRule="exact"/>
              <w:ind w:left="0"/>
              <w:jc w:val="left"/>
              <w:textAlignment w:val="auto"/>
              <w:rPr>
                <w:rFonts w:hint="default" w:ascii="Times New Roman" w:hAnsi="Times New Roman" w:eastAsia="等线" w:cs="Times New Roman"/>
                <w:color w:val="auto"/>
                <w:kern w:val="0"/>
                <w:sz w:val="24"/>
                <w:szCs w:val="21"/>
              </w:rPr>
            </w:pPr>
          </w:p>
        </w:tc>
        <w:tc>
          <w:tcPr>
            <w:tcW w:w="553"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1460" w:type="pct"/>
            <w:gridSpan w:val="2"/>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7.3.2 教师的数量、结构、教学水平、产学研用能力、国际视野、教学投入等满足人才培养需要情况</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【必选】生师比（要求见备注8）</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【必选】具有硕士学位、博士学位教师占专任教师比例≥50%</w:t>
            </w:r>
          </w:p>
        </w:tc>
        <w:tc>
          <w:tcPr>
            <w:tcW w:w="41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人事处（牵头）、教务处、科技处、财务处、国际处</w:t>
            </w:r>
          </w:p>
        </w:tc>
        <w:tc>
          <w:tcPr>
            <w:tcW w:w="133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286" w:type="pct"/>
            <w:vMerge w:val="continue"/>
            <w:vAlign w:val="center"/>
          </w:tcPr>
          <w:p>
            <w:pPr>
              <w:spacing w:line="300" w:lineRule="exact"/>
              <w:ind w:left="0"/>
              <w:jc w:val="left"/>
              <w:textAlignment w:val="auto"/>
              <w:rPr>
                <w:rFonts w:hint="default" w:ascii="Times New Roman" w:hAnsi="Times New Roman" w:eastAsia="等线" w:cs="Times New Roman"/>
                <w:color w:val="auto"/>
                <w:kern w:val="0"/>
                <w:sz w:val="24"/>
                <w:szCs w:val="21"/>
              </w:rPr>
            </w:pPr>
          </w:p>
        </w:tc>
        <w:tc>
          <w:tcPr>
            <w:tcW w:w="553" w:type="pct"/>
            <w:vMerge w:val="restar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7.4有效度</w:t>
            </w:r>
          </w:p>
        </w:tc>
        <w:tc>
          <w:tcPr>
            <w:tcW w:w="1460" w:type="pct"/>
            <w:gridSpan w:val="2"/>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7.4.1 学校人才培养各环节有序运行情况</w:t>
            </w:r>
          </w:p>
        </w:tc>
        <w:tc>
          <w:tcPr>
            <w:tcW w:w="41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Align w:val="center"/>
          </w:tcPr>
          <w:p>
            <w:pPr>
              <w:spacing w:line="240" w:lineRule="auto"/>
              <w:ind w:left="0"/>
              <w:jc w:val="both"/>
              <w:textAlignment w:val="auto"/>
              <w:rPr>
                <w:rFonts w:hint="default" w:ascii="Times New Roman" w:hAnsi="Times New Roman" w:eastAsia="等线" w:cs="Times New Roman"/>
                <w:color w:val="auto"/>
                <w:kern w:val="2"/>
                <w:sz w:val="21"/>
                <w:szCs w:val="22"/>
              </w:rPr>
            </w:pPr>
            <w:r>
              <w:rPr>
                <w:rFonts w:hint="default" w:ascii="Times New Roman" w:hAnsi="Times New Roman" w:eastAsia="方正仿宋_GB2312" w:cs="Times New Roman"/>
                <w:color w:val="auto"/>
                <w:kern w:val="2"/>
                <w:sz w:val="24"/>
                <w:szCs w:val="32"/>
              </w:rPr>
              <w:t>教务处</w:t>
            </w:r>
          </w:p>
        </w:tc>
        <w:tc>
          <w:tcPr>
            <w:tcW w:w="1337" w:type="pct"/>
            <w:vMerge w:val="restar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lang w:eastAsia="zh-CN"/>
              </w:rPr>
            </w:pPr>
            <w:r>
              <w:rPr>
                <w:rFonts w:hint="default" w:ascii="Times New Roman" w:hAnsi="Times New Roman" w:eastAsia="方正仿宋_GB2312" w:cs="Times New Roman"/>
                <w:color w:val="auto"/>
                <w:kern w:val="2"/>
                <w:sz w:val="24"/>
                <w:szCs w:val="32"/>
              </w:rPr>
              <w:t>①对学校人才培养各环节监控、检查资料</w:t>
            </w:r>
            <w:r>
              <w:rPr>
                <w:rFonts w:hint="default" w:ascii="Times New Roman" w:hAnsi="Times New Roman" w:eastAsia="方正仿宋_GB2312" w:cs="Times New Roman"/>
                <w:color w:val="auto"/>
                <w:kern w:val="2"/>
                <w:sz w:val="24"/>
                <w:szCs w:val="32"/>
                <w:lang w:eastAsia="zh-CN"/>
              </w:rPr>
              <w:t>；</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lang w:eastAsia="zh-CN"/>
              </w:rPr>
            </w:pPr>
            <w:r>
              <w:rPr>
                <w:rFonts w:hint="default" w:ascii="Times New Roman" w:hAnsi="Times New Roman" w:eastAsia="方正仿宋_GB2312" w:cs="Times New Roman"/>
                <w:color w:val="auto"/>
                <w:kern w:val="2"/>
                <w:sz w:val="24"/>
                <w:szCs w:val="32"/>
              </w:rPr>
              <w:t>②近三年人才培养核心数据（生师比、具有研究生学位教师占专任教师的比例等）统计资料</w:t>
            </w:r>
            <w:r>
              <w:rPr>
                <w:rFonts w:hint="default" w:ascii="Times New Roman" w:hAnsi="Times New Roman" w:eastAsia="方正仿宋_GB2312" w:cs="Times New Roman"/>
                <w:color w:val="auto"/>
                <w:kern w:val="2"/>
                <w:sz w:val="24"/>
                <w:szCs w:val="32"/>
                <w:lang w:eastAsia="zh-CN"/>
              </w:rPr>
              <w:t>；</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③近五年优秀毕业生典型案例及其有关的宣传报道材料</w:t>
            </w:r>
            <w:r>
              <w:rPr>
                <w:rFonts w:hint="default" w:ascii="Times New Roman" w:hAnsi="Times New Roman" w:eastAsia="方正仿宋_GB2312" w:cs="Times New Roman"/>
                <w:color w:val="auto"/>
                <w:kern w:val="2"/>
                <w:sz w:val="24"/>
                <w:szCs w:val="32"/>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6" w:hRule="atLeast"/>
          <w:jc w:val="center"/>
        </w:trPr>
        <w:tc>
          <w:tcPr>
            <w:tcW w:w="286" w:type="pct"/>
            <w:vMerge w:val="continue"/>
            <w:vAlign w:val="center"/>
          </w:tcPr>
          <w:p>
            <w:pPr>
              <w:spacing w:line="300" w:lineRule="exact"/>
              <w:ind w:left="0"/>
              <w:jc w:val="left"/>
              <w:textAlignment w:val="auto"/>
              <w:rPr>
                <w:rFonts w:hint="default" w:ascii="Times New Roman" w:hAnsi="Times New Roman" w:eastAsia="等线" w:cs="Times New Roman"/>
                <w:color w:val="auto"/>
                <w:kern w:val="0"/>
                <w:sz w:val="24"/>
                <w:szCs w:val="21"/>
              </w:rPr>
            </w:pPr>
          </w:p>
        </w:tc>
        <w:tc>
          <w:tcPr>
            <w:tcW w:w="553"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1460" w:type="pct"/>
            <w:gridSpan w:val="2"/>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7.4.2 学校人才培养工作持续改进、持续提升情况</w:t>
            </w:r>
          </w:p>
        </w:tc>
        <w:tc>
          <w:tcPr>
            <w:tcW w:w="41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both"/>
              <w:textAlignment w:val="auto"/>
              <w:rPr>
                <w:rFonts w:hint="default" w:ascii="Times New Roman" w:hAnsi="Times New Roman" w:eastAsia="等线" w:cs="Times New Roman"/>
                <w:color w:val="auto"/>
                <w:kern w:val="2"/>
                <w:sz w:val="21"/>
                <w:szCs w:val="22"/>
              </w:rPr>
            </w:pPr>
            <w:r>
              <w:rPr>
                <w:rFonts w:hint="default" w:ascii="Times New Roman" w:hAnsi="Times New Roman" w:eastAsia="方正仿宋_GB2312" w:cs="Times New Roman"/>
                <w:color w:val="auto"/>
                <w:kern w:val="2"/>
                <w:sz w:val="24"/>
                <w:szCs w:val="32"/>
              </w:rPr>
              <w:t>教务处（牵头）、学生处、发规处</w:t>
            </w:r>
          </w:p>
        </w:tc>
        <w:tc>
          <w:tcPr>
            <w:tcW w:w="1337" w:type="pct"/>
            <w:vMerge w:val="continue"/>
            <w:vAlign w:val="center"/>
          </w:tcPr>
          <w:p>
            <w:pPr>
              <w:spacing w:line="240" w:lineRule="auto"/>
              <w:ind w:left="0"/>
              <w:jc w:val="both"/>
              <w:textAlignment w:val="auto"/>
              <w:rPr>
                <w:rFonts w:hint="default" w:ascii="Times New Roman" w:hAnsi="Times New Roman" w:eastAsia="方正仿宋_GB2312" w:cs="Times New Roman"/>
                <w:color w:val="auto"/>
                <w:kern w:val="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jc w:val="center"/>
        </w:trPr>
        <w:tc>
          <w:tcPr>
            <w:tcW w:w="286" w:type="pct"/>
            <w:vMerge w:val="continue"/>
            <w:vAlign w:val="center"/>
          </w:tcPr>
          <w:p>
            <w:pPr>
              <w:spacing w:line="300" w:lineRule="exact"/>
              <w:ind w:left="0"/>
              <w:jc w:val="left"/>
              <w:textAlignment w:val="auto"/>
              <w:rPr>
                <w:rFonts w:hint="default" w:ascii="Times New Roman" w:hAnsi="Times New Roman" w:eastAsia="等线" w:cs="Times New Roman"/>
                <w:color w:val="auto"/>
                <w:kern w:val="0"/>
                <w:sz w:val="24"/>
                <w:szCs w:val="21"/>
              </w:rPr>
            </w:pPr>
          </w:p>
        </w:tc>
        <w:tc>
          <w:tcPr>
            <w:tcW w:w="553"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1460" w:type="pct"/>
            <w:gridSpan w:val="2"/>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7.4.3 近五年专业领域的优秀毕业生十个典型案例及培养经验</w:t>
            </w:r>
          </w:p>
        </w:tc>
        <w:tc>
          <w:tcPr>
            <w:tcW w:w="41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学生处（牵头）、社会合作处</w:t>
            </w:r>
          </w:p>
        </w:tc>
        <w:tc>
          <w:tcPr>
            <w:tcW w:w="133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286" w:type="pct"/>
            <w:vMerge w:val="continue"/>
            <w:vAlign w:val="center"/>
          </w:tcPr>
          <w:p>
            <w:pPr>
              <w:widowControl/>
              <w:spacing w:line="300" w:lineRule="exact"/>
              <w:ind w:left="0"/>
              <w:jc w:val="left"/>
              <w:textAlignment w:val="auto"/>
              <w:rPr>
                <w:rFonts w:hint="default" w:ascii="Times New Roman" w:hAnsi="Times New Roman" w:eastAsia="等线" w:cs="Times New Roman"/>
                <w:color w:val="auto"/>
                <w:kern w:val="0"/>
                <w:sz w:val="24"/>
                <w:szCs w:val="21"/>
              </w:rPr>
            </w:pPr>
          </w:p>
        </w:tc>
        <w:tc>
          <w:tcPr>
            <w:tcW w:w="553" w:type="pct"/>
            <w:vMerge w:val="restar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7.5满意度</w:t>
            </w:r>
          </w:p>
        </w:tc>
        <w:tc>
          <w:tcPr>
            <w:tcW w:w="1460" w:type="pct"/>
            <w:gridSpan w:val="2"/>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7.5.1 学生（毕业生与在校生）对学习与成长的满意度</w:t>
            </w:r>
          </w:p>
        </w:tc>
        <w:tc>
          <w:tcPr>
            <w:tcW w:w="41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学生处（牵头）、教务处、社会合作处</w:t>
            </w:r>
          </w:p>
        </w:tc>
        <w:tc>
          <w:tcPr>
            <w:tcW w:w="1337" w:type="pct"/>
            <w:vMerge w:val="restar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①学校定期开展的在校生和毕业生座谈会、用人单位座谈会和问卷调查材料；</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②学校定期开展的教师座谈会和问卷调查材料；</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③学生对教学、管理、服务提出的意见和建议资料</w:t>
            </w:r>
            <w:r>
              <w:rPr>
                <w:rFonts w:hint="default" w:ascii="Times New Roman" w:hAnsi="Times New Roman" w:eastAsia="方正仿宋_GB2312" w:cs="Times New Roman"/>
                <w:color w:val="auto"/>
                <w:kern w:val="2"/>
                <w:sz w:val="24"/>
                <w:szCs w:val="32"/>
                <w:lang w:eastAsia="zh-CN"/>
              </w:rPr>
              <w:t>；</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lang w:eastAsia="zh-CN"/>
              </w:rPr>
            </w:pPr>
            <w:r>
              <w:rPr>
                <w:rFonts w:hint="default" w:ascii="Times New Roman" w:hAnsi="Times New Roman" w:eastAsia="微软雅黑" w:cs="Times New Roman"/>
                <w:color w:val="auto"/>
                <w:kern w:val="2"/>
                <w:sz w:val="24"/>
                <w:szCs w:val="32"/>
              </w:rPr>
              <w:t>④</w:t>
            </w:r>
            <w:r>
              <w:rPr>
                <w:rFonts w:hint="default" w:ascii="Times New Roman" w:hAnsi="Times New Roman" w:eastAsia="方正仿宋_GB2312" w:cs="Times New Roman"/>
                <w:color w:val="auto"/>
                <w:kern w:val="2"/>
                <w:sz w:val="24"/>
                <w:szCs w:val="32"/>
              </w:rPr>
              <w:t>教师对教学、管理、服务提出的意见和建议资料</w:t>
            </w:r>
            <w:r>
              <w:rPr>
                <w:rFonts w:hint="default" w:ascii="Times New Roman" w:hAnsi="Times New Roman" w:eastAsia="方正仿宋_GB2312" w:cs="Times New Roman"/>
                <w:color w:val="auto"/>
                <w:kern w:val="2"/>
                <w:sz w:val="24"/>
                <w:szCs w:val="32"/>
                <w:lang w:eastAsia="zh-CN"/>
              </w:rPr>
              <w:t>；</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lang w:eastAsia="zh-CN"/>
              </w:rPr>
            </w:pPr>
            <w:r>
              <w:rPr>
                <w:rFonts w:hint="default" w:ascii="Times New Roman" w:hAnsi="Times New Roman" w:eastAsia="微软雅黑" w:cs="Times New Roman"/>
                <w:color w:val="auto"/>
                <w:kern w:val="2"/>
                <w:sz w:val="24"/>
                <w:szCs w:val="32"/>
              </w:rPr>
              <w:t>⑤</w:t>
            </w:r>
            <w:r>
              <w:rPr>
                <w:rFonts w:hint="default" w:ascii="Times New Roman" w:hAnsi="Times New Roman" w:eastAsia="方正仿宋_GB2312" w:cs="Times New Roman"/>
                <w:color w:val="auto"/>
                <w:kern w:val="2"/>
                <w:sz w:val="24"/>
                <w:szCs w:val="32"/>
              </w:rPr>
              <w:t>社会用人单位对毕业生的评价调查资料；</w:t>
            </w:r>
          </w:p>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微软雅黑" w:cs="Times New Roman"/>
                <w:color w:val="auto"/>
                <w:kern w:val="2"/>
                <w:sz w:val="24"/>
                <w:szCs w:val="32"/>
              </w:rPr>
              <w:t>⑥</w:t>
            </w:r>
            <w:r>
              <w:rPr>
                <w:rFonts w:hint="default" w:ascii="Times New Roman" w:hAnsi="Times New Roman" w:eastAsia="方正仿宋_GB2312" w:cs="Times New Roman"/>
                <w:color w:val="auto"/>
                <w:kern w:val="2"/>
                <w:sz w:val="24"/>
                <w:szCs w:val="32"/>
              </w:rPr>
              <w:t>社会用人单位对专业设置、培养目标、培养规格、培养方案、教学方法改进提出的意见调查材料。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 w:hRule="atLeast"/>
          <w:jc w:val="center"/>
        </w:trPr>
        <w:tc>
          <w:tcPr>
            <w:tcW w:w="286" w:type="pct"/>
            <w:vMerge w:val="continue"/>
            <w:vAlign w:val="center"/>
          </w:tcPr>
          <w:p>
            <w:pPr>
              <w:widowControl/>
              <w:spacing w:line="300" w:lineRule="exact"/>
              <w:ind w:left="0"/>
              <w:jc w:val="left"/>
              <w:textAlignment w:val="auto"/>
              <w:rPr>
                <w:rFonts w:hint="default" w:ascii="Times New Roman" w:hAnsi="Times New Roman" w:eastAsia="等线" w:cs="Times New Roman"/>
                <w:color w:val="auto"/>
                <w:kern w:val="0"/>
                <w:sz w:val="24"/>
                <w:szCs w:val="21"/>
              </w:rPr>
            </w:pPr>
          </w:p>
        </w:tc>
        <w:tc>
          <w:tcPr>
            <w:tcW w:w="553"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1460" w:type="pct"/>
            <w:gridSpan w:val="2"/>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7.5.2 教师对学校教育教学工作的满意度</w:t>
            </w:r>
          </w:p>
        </w:tc>
        <w:tc>
          <w:tcPr>
            <w:tcW w:w="41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教务处（牵头）、学生处</w:t>
            </w:r>
          </w:p>
        </w:tc>
        <w:tc>
          <w:tcPr>
            <w:tcW w:w="133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 w:hRule="atLeast"/>
          <w:jc w:val="center"/>
        </w:trPr>
        <w:tc>
          <w:tcPr>
            <w:tcW w:w="286" w:type="pct"/>
            <w:vMerge w:val="continue"/>
            <w:vAlign w:val="center"/>
          </w:tcPr>
          <w:p>
            <w:pPr>
              <w:widowControl/>
              <w:spacing w:line="300" w:lineRule="exact"/>
              <w:ind w:left="0"/>
              <w:jc w:val="left"/>
              <w:textAlignment w:val="auto"/>
              <w:rPr>
                <w:rFonts w:hint="default" w:ascii="Times New Roman" w:hAnsi="Times New Roman" w:eastAsia="等线" w:cs="Times New Roman"/>
                <w:color w:val="auto"/>
                <w:kern w:val="0"/>
                <w:sz w:val="24"/>
                <w:szCs w:val="21"/>
              </w:rPr>
            </w:pPr>
          </w:p>
        </w:tc>
        <w:tc>
          <w:tcPr>
            <w:tcW w:w="553"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1460" w:type="pct"/>
            <w:gridSpan w:val="2"/>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7.5.3 用人单位的满意度</w:t>
            </w:r>
          </w:p>
        </w:tc>
        <w:tc>
          <w:tcPr>
            <w:tcW w:w="41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学生处（牵头）、社会合作处</w:t>
            </w:r>
          </w:p>
        </w:tc>
        <w:tc>
          <w:tcPr>
            <w:tcW w:w="133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 w:hRule="atLeast"/>
          <w:jc w:val="center"/>
        </w:trPr>
        <w:tc>
          <w:tcPr>
            <w:tcW w:w="286" w:type="pct"/>
            <w:vMerge w:val="restart"/>
            <w:vAlign w:val="center"/>
          </w:tcPr>
          <w:p>
            <w:pPr>
              <w:spacing w:line="300" w:lineRule="exact"/>
              <w:ind w:left="0"/>
              <w:jc w:val="left"/>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8.安徽省高水平大学建设项目自评</w:t>
            </w:r>
          </w:p>
        </w:tc>
        <w:tc>
          <w:tcPr>
            <w:tcW w:w="553" w:type="pct"/>
            <w:vAlign w:val="center"/>
          </w:tcPr>
          <w:p>
            <w:pPr>
              <w:widowControl/>
              <w:spacing w:line="300" w:lineRule="exact"/>
              <w:ind w:left="0"/>
              <w:jc w:val="center"/>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8.1高水平大学建设成效自评</w:t>
            </w:r>
          </w:p>
        </w:tc>
        <w:tc>
          <w:tcPr>
            <w:tcW w:w="1460" w:type="pct"/>
            <w:gridSpan w:val="2"/>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8.1.1 安徽省地方行业特色高水平大学建设成效自评表</w:t>
            </w:r>
          </w:p>
        </w:tc>
        <w:tc>
          <w:tcPr>
            <w:tcW w:w="417" w:type="pct"/>
            <w:vMerge w:val="restar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协管发展质量评估的副校长</w:t>
            </w:r>
          </w:p>
        </w:tc>
        <w:tc>
          <w:tcPr>
            <w:tcW w:w="369" w:type="pct"/>
            <w:vMerge w:val="restar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发规处</w:t>
            </w:r>
          </w:p>
        </w:tc>
        <w:tc>
          <w:tcPr>
            <w:tcW w:w="574" w:type="pct"/>
            <w:vMerge w:val="restar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发规处（牵头）、各职能部门</w:t>
            </w:r>
          </w:p>
        </w:tc>
        <w:tc>
          <w:tcPr>
            <w:tcW w:w="1337"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①安徽省地方应用型院校建设成效自评表。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jc w:val="center"/>
        </w:trPr>
        <w:tc>
          <w:tcPr>
            <w:tcW w:w="286"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53" w:type="pct"/>
            <w:vAlign w:val="center"/>
          </w:tcPr>
          <w:p>
            <w:pPr>
              <w:widowControl/>
              <w:spacing w:line="300" w:lineRule="exact"/>
              <w:ind w:left="0"/>
              <w:jc w:val="center"/>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8.2自我评价报告</w:t>
            </w:r>
          </w:p>
        </w:tc>
        <w:tc>
          <w:tcPr>
            <w:tcW w:w="1460" w:type="pct"/>
            <w:gridSpan w:val="2"/>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8.2.1 建设举措、取得成效、存在问题、下一步努力方向等</w:t>
            </w:r>
          </w:p>
        </w:tc>
        <w:tc>
          <w:tcPr>
            <w:tcW w:w="417"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369"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574" w:type="pct"/>
            <w:vMerge w:val="continue"/>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p>
        </w:tc>
        <w:tc>
          <w:tcPr>
            <w:tcW w:w="1337" w:type="pct"/>
            <w:vAlign w:val="center"/>
          </w:tcPr>
          <w:p>
            <w:pPr>
              <w:widowControl/>
              <w:spacing w:line="300" w:lineRule="exact"/>
              <w:ind w:left="0"/>
              <w:jc w:val="both"/>
              <w:textAlignment w:val="auto"/>
              <w:rPr>
                <w:rFonts w:hint="default" w:ascii="Times New Roman" w:hAnsi="Times New Roman" w:eastAsia="方正仿宋_GB2312" w:cs="Times New Roman"/>
                <w:color w:val="auto"/>
                <w:kern w:val="2"/>
                <w:sz w:val="24"/>
                <w:szCs w:val="32"/>
              </w:rPr>
            </w:pPr>
            <w:r>
              <w:rPr>
                <w:rFonts w:hint="default" w:ascii="Times New Roman" w:hAnsi="Times New Roman" w:eastAsia="方正仿宋_GB2312" w:cs="Times New Roman"/>
                <w:color w:val="auto"/>
                <w:kern w:val="2"/>
                <w:sz w:val="24"/>
                <w:szCs w:val="32"/>
              </w:rPr>
              <w:t>①安徽省地方应用型高水平大学建设成效报告。</w:t>
            </w:r>
          </w:p>
        </w:tc>
      </w:tr>
    </w:tbl>
    <w:p>
      <w:pPr>
        <w:keepNext w:val="0"/>
        <w:keepLines w:val="0"/>
        <w:pageBreakBefore w:val="0"/>
        <w:widowControl/>
        <w:kinsoku/>
        <w:wordWrap/>
        <w:overflowPunct/>
        <w:topLinePunct w:val="0"/>
        <w:autoSpaceDE/>
        <w:autoSpaceDN/>
        <w:bidi w:val="0"/>
        <w:adjustRightInd/>
        <w:snapToGrid/>
        <w:spacing w:line="288" w:lineRule="auto"/>
        <w:ind w:left="0"/>
        <w:textAlignment w:val="auto"/>
        <w:rPr>
          <w:rFonts w:hint="default" w:ascii="Times New Roman" w:hAnsi="Times New Roman" w:cs="Times New Roman"/>
        </w:rPr>
        <w:sectPr>
          <w:pgSz w:w="16838" w:h="11906" w:orient="landscape"/>
          <w:pgMar w:top="1800" w:right="1440" w:bottom="1800" w:left="1440" w:header="851" w:footer="992" w:gutter="0"/>
          <w:cols w:space="425" w:num="1"/>
          <w:docGrid w:type="lines" w:linePitch="312" w:charSpace="0"/>
        </w:sectPr>
      </w:pPr>
      <w:r>
        <w:rPr>
          <w:rFonts w:hint="default" w:ascii="Times New Roman" w:hAnsi="Times New Roman" w:eastAsia="方正仿宋_GB2312" w:cs="Times New Roman"/>
          <w:b w:val="0"/>
          <w:bCs/>
          <w:kern w:val="2"/>
          <w:sz w:val="24"/>
          <w:szCs w:val="24"/>
        </w:rPr>
        <w:t>备注：</w:t>
      </w:r>
      <w:r>
        <w:rPr>
          <w:rFonts w:hint="default" w:ascii="Times New Roman" w:hAnsi="Times New Roman" w:eastAsia="方正仿宋_GB2312" w:cs="Times New Roman"/>
          <w:b w:val="0"/>
          <w:bCs/>
          <w:kern w:val="2"/>
          <w:sz w:val="24"/>
          <w:szCs w:val="24"/>
          <w:lang w:val="en-US" w:eastAsia="zh-CN"/>
        </w:rPr>
        <w:t>表格内“要求见备注5~8”参见《安徽省教育厅关于印发《安徽省普通高等学校本科教育教学审核评估实施方案（试行）》等文件的通知》（皖教高〔2023〕2号）中“附件3 安</w:t>
      </w:r>
      <w:bookmarkStart w:id="0" w:name="_GoBack"/>
      <w:bookmarkEnd w:id="0"/>
      <w:r>
        <w:rPr>
          <w:rFonts w:hint="default" w:ascii="Times New Roman" w:hAnsi="Times New Roman" w:eastAsia="方正仿宋_GB2312" w:cs="Times New Roman"/>
          <w:b w:val="0"/>
          <w:bCs/>
          <w:kern w:val="2"/>
          <w:sz w:val="24"/>
          <w:szCs w:val="24"/>
          <w:lang w:val="en-US" w:eastAsia="zh-CN"/>
        </w:rPr>
        <w:t>徽省普通高等学校本科教育教学审核评估指标体系.docx”的备注相关要求</w:t>
      </w:r>
      <w:r>
        <w:rPr>
          <w:rFonts w:hint="eastAsia" w:ascii="Times New Roman" w:hAnsi="Times New Roman" w:eastAsia="方正仿宋_GB2312" w:cs="Times New Roman"/>
          <w:b w:val="0"/>
          <w:bCs/>
          <w:kern w:val="2"/>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方正仿宋_GB2312" w:cs="Times New Roman"/>
          <w:sz w:val="24"/>
          <w:szCs w:val="24"/>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E30529C-B36E-4412-A96A-5FB520DA07B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2312">
    <w:panose1 w:val="02000000000000000000"/>
    <w:charset w:val="86"/>
    <w:family w:val="auto"/>
    <w:pitch w:val="default"/>
    <w:sig w:usb0="A00002BF" w:usb1="184F6CFA" w:usb2="00000012" w:usb3="00000000" w:csb0="00040001" w:csb1="00000000"/>
    <w:embedRegular r:id="rId2" w:fontKey="{BAE7D6A0-B73C-4F82-BD87-6614C6DA763C}"/>
  </w:font>
  <w:font w:name="微软雅黑">
    <w:panose1 w:val="020B0503020204020204"/>
    <w:charset w:val="86"/>
    <w:family w:val="auto"/>
    <w:pitch w:val="default"/>
    <w:sig w:usb0="80000287" w:usb1="2ACF3C50" w:usb2="00000016" w:usb3="00000000" w:csb0="0004001F" w:csb1="00000000"/>
    <w:embedRegular r:id="rId3" w:fontKey="{ABDB4973-5111-40A2-A823-7B74AB68CE31}"/>
  </w:font>
  <w:font w:name="等线">
    <w:panose1 w:val="02010600030101010101"/>
    <w:charset w:val="86"/>
    <w:family w:val="auto"/>
    <w:pitch w:val="default"/>
    <w:sig w:usb0="A00002BF" w:usb1="38CF7CFA" w:usb2="00000016" w:usb3="00000000" w:csb0="0004000F" w:csb1="00000000"/>
    <w:embedRegular r:id="rId4" w:fontKey="{D131A825-5BED-42A8-BC1A-20F8EF9EDC86}"/>
  </w:font>
  <w:font w:name="MS PGothic">
    <w:panose1 w:val="020B0600070205080204"/>
    <w:charset w:val="80"/>
    <w:family w:val="auto"/>
    <w:pitch w:val="default"/>
    <w:sig w:usb0="E00002FF" w:usb1="6AC7FDFB" w:usb2="08000012" w:usb3="00000000" w:csb0="4002009F" w:csb1="DFD70000"/>
  </w:font>
  <w:font w:name="方正公文小标宋">
    <w:panose1 w:val="02000500000000000000"/>
    <w:charset w:val="86"/>
    <w:family w:val="auto"/>
    <w:pitch w:val="default"/>
    <w:sig w:usb0="A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lmZmViNGQ4NDNiYmJiOTY4OGI4Y2Q5ZDk5YjE2MWYifQ=="/>
    <w:docVar w:name="KSO_WPS_MARK_KEY" w:val="8561cbb4-cc49-4f93-a1b4-81463331f95f"/>
  </w:docVars>
  <w:rsids>
    <w:rsidRoot w:val="615D3893"/>
    <w:rsid w:val="0ADC5C8E"/>
    <w:rsid w:val="0D0D1311"/>
    <w:rsid w:val="0E487D1A"/>
    <w:rsid w:val="12396997"/>
    <w:rsid w:val="13E13CA8"/>
    <w:rsid w:val="14635602"/>
    <w:rsid w:val="167315CF"/>
    <w:rsid w:val="22F17100"/>
    <w:rsid w:val="2BA540F9"/>
    <w:rsid w:val="2D126E7A"/>
    <w:rsid w:val="3D542D40"/>
    <w:rsid w:val="47F83D5F"/>
    <w:rsid w:val="4F2204BE"/>
    <w:rsid w:val="541F1FCC"/>
    <w:rsid w:val="563573F2"/>
    <w:rsid w:val="5BAA45D4"/>
    <w:rsid w:val="5E6A2E42"/>
    <w:rsid w:val="5EDD2EBF"/>
    <w:rsid w:val="615D3893"/>
    <w:rsid w:val="622B1FB0"/>
    <w:rsid w:val="63CE6D93"/>
    <w:rsid w:val="647C589E"/>
    <w:rsid w:val="648B6368"/>
    <w:rsid w:val="66837B1A"/>
    <w:rsid w:val="6A4719A4"/>
    <w:rsid w:val="6AC87FE6"/>
    <w:rsid w:val="71712D63"/>
    <w:rsid w:val="772B0D53"/>
    <w:rsid w:val="78E136BD"/>
    <w:rsid w:val="7C7A69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line="413" w:lineRule="auto"/>
      <w:outlineLvl w:val="1"/>
    </w:pPr>
    <w:rPr>
      <w:rFonts w:ascii="Arial" w:hAnsi="Arial" w:eastAsia="黑体"/>
      <w:b/>
      <w:sz w:val="32"/>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rPr>
      <w:sz w:val="28"/>
      <w:szCs w:val="28"/>
    </w:rPr>
  </w:style>
  <w:style w:type="table" w:styleId="5">
    <w:name w:val="Table Grid"/>
    <w:basedOn w:val="4"/>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20</Pages>
  <Words>10455</Words>
  <Characters>10950</Characters>
  <Lines>0</Lines>
  <Paragraphs>0</Paragraphs>
  <TotalTime>21</TotalTime>
  <ScaleCrop>false</ScaleCrop>
  <LinksUpToDate>false</LinksUpToDate>
  <CharactersWithSpaces>11056</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2025-02-28T08:37:00Z</dcterms:created>
  <dc:creator>人间四月天</dc:creator>
  <cp:lastModifiedBy>小文</cp:lastModifiedBy>
  <dcterms:modified xsi:type="dcterms:W3CDTF">2025-03-04T01:26:24Z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3071F35369224645A5F9823E2DCECD00</vt:lpwstr>
  </property>
  <property fmtid="{D5CDD505-2E9C-101B-9397-08002B2CF9AE}" pid="4" name="KSOTemplateDocerSaveRecord">
    <vt:lpwstr>eyJoZGlkIjoiM2M5ZDY0NjlkOTcyNGI2ZWViMzI4ZDIxNjcyZTBjZjgiLCJ1c2VySWQiOiI0MjQ3ODI0MzEifQ==</vt:lpwstr>
  </property>
</Properties>
</file>